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0DEA6" w14:textId="6B06D8F6" w:rsidR="00B15E00"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 xml:space="preserve">Class :7 </w:t>
      </w:r>
    </w:p>
    <w:p w14:paraId="5E8C5F34"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Semisolid dosage forms are pharmaceutical preparations applied externally to the skin or mucous membranes. They include ointments, creams, gels, and pastes. These dosage forms are widely used for local and systemic drug delivery due to their ease of application, better patient compliance, and controlled drug release. Evaluation of semisolid dosage forms is important to ensure quality, safety, stability, and therapeutic effectiveness.</w:t>
      </w:r>
    </w:p>
    <w:p w14:paraId="4A2D3D15"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1. Physical Appearance</w:t>
      </w:r>
    </w:p>
    <w:p w14:paraId="448D3DBF"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 xml:space="preserve">Physical appearance is the first parameter evaluated in semisolid dosage forms. It includes </w:t>
      </w:r>
      <w:proofErr w:type="spellStart"/>
      <w:r w:rsidRPr="0033792F">
        <w:rPr>
          <w:rFonts w:ascii="Times New Roman" w:hAnsi="Times New Roman" w:cs="Times New Roman"/>
          <w:sz w:val="28"/>
          <w:szCs w:val="28"/>
        </w:rPr>
        <w:t>color</w:t>
      </w:r>
      <w:proofErr w:type="spellEnd"/>
      <w:r w:rsidRPr="0033792F">
        <w:rPr>
          <w:rFonts w:ascii="Times New Roman" w:hAnsi="Times New Roman" w:cs="Times New Roman"/>
          <w:sz w:val="28"/>
          <w:szCs w:val="28"/>
        </w:rPr>
        <w:t xml:space="preserve">, </w:t>
      </w:r>
      <w:proofErr w:type="spellStart"/>
      <w:r w:rsidRPr="0033792F">
        <w:rPr>
          <w:rFonts w:ascii="Times New Roman" w:hAnsi="Times New Roman" w:cs="Times New Roman"/>
          <w:sz w:val="28"/>
          <w:szCs w:val="28"/>
        </w:rPr>
        <w:t>odor</w:t>
      </w:r>
      <w:proofErr w:type="spellEnd"/>
      <w:r w:rsidRPr="0033792F">
        <w:rPr>
          <w:rFonts w:ascii="Times New Roman" w:hAnsi="Times New Roman" w:cs="Times New Roman"/>
          <w:sz w:val="28"/>
          <w:szCs w:val="28"/>
        </w:rPr>
        <w:t xml:space="preserve">, homogeneity, and texture. The preparation should be uniform without lumps, grittiness, or phase separation. Any change in </w:t>
      </w:r>
      <w:proofErr w:type="spellStart"/>
      <w:r w:rsidRPr="0033792F">
        <w:rPr>
          <w:rFonts w:ascii="Times New Roman" w:hAnsi="Times New Roman" w:cs="Times New Roman"/>
          <w:sz w:val="28"/>
          <w:szCs w:val="28"/>
        </w:rPr>
        <w:t>color</w:t>
      </w:r>
      <w:proofErr w:type="spellEnd"/>
      <w:r w:rsidRPr="0033792F">
        <w:rPr>
          <w:rFonts w:ascii="Times New Roman" w:hAnsi="Times New Roman" w:cs="Times New Roman"/>
          <w:sz w:val="28"/>
          <w:szCs w:val="28"/>
        </w:rPr>
        <w:t xml:space="preserve"> or </w:t>
      </w:r>
      <w:proofErr w:type="spellStart"/>
      <w:r w:rsidRPr="0033792F">
        <w:rPr>
          <w:rFonts w:ascii="Times New Roman" w:hAnsi="Times New Roman" w:cs="Times New Roman"/>
          <w:sz w:val="28"/>
          <w:szCs w:val="28"/>
        </w:rPr>
        <w:t>odor</w:t>
      </w:r>
      <w:proofErr w:type="spellEnd"/>
      <w:r w:rsidRPr="0033792F">
        <w:rPr>
          <w:rFonts w:ascii="Times New Roman" w:hAnsi="Times New Roman" w:cs="Times New Roman"/>
          <w:sz w:val="28"/>
          <w:szCs w:val="28"/>
        </w:rPr>
        <w:t xml:space="preserve"> may indicate instability or contamination. A good semisolid product should be smooth and elegant for patient acceptance.</w:t>
      </w:r>
    </w:p>
    <w:p w14:paraId="7986B089"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2. pH Determination</w:t>
      </w:r>
    </w:p>
    <w:p w14:paraId="3F2F640B"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The pH of semisolid dosage forms is important to ensure compatibility with skin and drug stability. The pH is measured using a digital pH meter. For skin preparations, the pH should be close to the natural skin pH (about 5.5–7). If the pH is too acidic or alkaline, it may cause irritation, redness, or drug degradation.</w:t>
      </w:r>
    </w:p>
    <w:p w14:paraId="181DBF9B"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3. Viscosity</w:t>
      </w:r>
    </w:p>
    <w:p w14:paraId="484C6D55"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Viscosity is a key parameter for semisolid dosage forms. It determines the consistency and ease of application. Viscosity is measured using a viscometer, such as a Brookfield viscometer. The formulation should have suitable viscosity so that it spreads easily but does not flow away from the applied site. High viscosity may reduce drug release, while low viscosity may reduce retention on the skin.</w:t>
      </w:r>
    </w:p>
    <w:p w14:paraId="370B2F6B"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 xml:space="preserve">4. </w:t>
      </w:r>
      <w:proofErr w:type="spellStart"/>
      <w:r w:rsidRPr="0033792F">
        <w:rPr>
          <w:rFonts w:ascii="Times New Roman" w:hAnsi="Times New Roman" w:cs="Times New Roman"/>
          <w:sz w:val="28"/>
          <w:szCs w:val="28"/>
        </w:rPr>
        <w:t>Spreadability</w:t>
      </w:r>
      <w:proofErr w:type="spellEnd"/>
    </w:p>
    <w:p w14:paraId="4326F808" w14:textId="77777777" w:rsidR="0033792F" w:rsidRPr="0033792F" w:rsidRDefault="0033792F" w:rsidP="0033792F">
      <w:pPr>
        <w:jc w:val="both"/>
        <w:rPr>
          <w:rFonts w:ascii="Times New Roman" w:hAnsi="Times New Roman" w:cs="Times New Roman"/>
          <w:sz w:val="28"/>
          <w:szCs w:val="28"/>
        </w:rPr>
      </w:pPr>
      <w:proofErr w:type="spellStart"/>
      <w:r w:rsidRPr="0033792F">
        <w:rPr>
          <w:rFonts w:ascii="Times New Roman" w:hAnsi="Times New Roman" w:cs="Times New Roman"/>
          <w:sz w:val="28"/>
          <w:szCs w:val="28"/>
        </w:rPr>
        <w:t>Spreadability</w:t>
      </w:r>
      <w:proofErr w:type="spellEnd"/>
      <w:r w:rsidRPr="0033792F">
        <w:rPr>
          <w:rFonts w:ascii="Times New Roman" w:hAnsi="Times New Roman" w:cs="Times New Roman"/>
          <w:sz w:val="28"/>
          <w:szCs w:val="28"/>
        </w:rPr>
        <w:t xml:space="preserve"> indicates how easily a semisolid preparation spreads on the skin. It affects patient compliance and uniform drug distribution. It is measured by placing a sample between two glass plates and applying weight. The time or area covered indicates </w:t>
      </w:r>
      <w:proofErr w:type="spellStart"/>
      <w:r w:rsidRPr="0033792F">
        <w:rPr>
          <w:rFonts w:ascii="Times New Roman" w:hAnsi="Times New Roman" w:cs="Times New Roman"/>
          <w:sz w:val="28"/>
          <w:szCs w:val="28"/>
        </w:rPr>
        <w:t>spreadability</w:t>
      </w:r>
      <w:proofErr w:type="spellEnd"/>
      <w:r w:rsidRPr="0033792F">
        <w:rPr>
          <w:rFonts w:ascii="Times New Roman" w:hAnsi="Times New Roman" w:cs="Times New Roman"/>
          <w:sz w:val="28"/>
          <w:szCs w:val="28"/>
        </w:rPr>
        <w:t xml:space="preserve">. Good </w:t>
      </w:r>
      <w:proofErr w:type="spellStart"/>
      <w:r w:rsidRPr="0033792F">
        <w:rPr>
          <w:rFonts w:ascii="Times New Roman" w:hAnsi="Times New Roman" w:cs="Times New Roman"/>
          <w:sz w:val="28"/>
          <w:szCs w:val="28"/>
        </w:rPr>
        <w:t>spreadability</w:t>
      </w:r>
      <w:proofErr w:type="spellEnd"/>
      <w:r w:rsidRPr="0033792F">
        <w:rPr>
          <w:rFonts w:ascii="Times New Roman" w:hAnsi="Times New Roman" w:cs="Times New Roman"/>
          <w:sz w:val="28"/>
          <w:szCs w:val="28"/>
        </w:rPr>
        <w:t xml:space="preserve"> ensures proper application and better therapeutic effect.</w:t>
      </w:r>
    </w:p>
    <w:p w14:paraId="490634C8"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5. Extrudability</w:t>
      </w:r>
    </w:p>
    <w:p w14:paraId="0E23A963"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lastRenderedPageBreak/>
        <w:t>Extrudability refers to the ease with which a semisolid formulation comes out of the tube or container. It is evaluated by applying pressure on the tube and measuring the amount of formulation extruded. Good extrudability ensures patient convenience and proper dosing.</w:t>
      </w:r>
    </w:p>
    <w:p w14:paraId="0925EE72"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6. Drug Content Uniformity</w:t>
      </w:r>
    </w:p>
    <w:p w14:paraId="0F3936BA"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 xml:space="preserve">Drug content uniformity ensures that the drug is evenly distributed throughout the formulation. A specific quantity of semisolid is dissolved in a suitable solvent and </w:t>
      </w:r>
      <w:proofErr w:type="spellStart"/>
      <w:r w:rsidRPr="0033792F">
        <w:rPr>
          <w:rFonts w:ascii="Times New Roman" w:hAnsi="Times New Roman" w:cs="Times New Roman"/>
          <w:sz w:val="28"/>
          <w:szCs w:val="28"/>
        </w:rPr>
        <w:t>analyzed</w:t>
      </w:r>
      <w:proofErr w:type="spellEnd"/>
      <w:r w:rsidRPr="0033792F">
        <w:rPr>
          <w:rFonts w:ascii="Times New Roman" w:hAnsi="Times New Roman" w:cs="Times New Roman"/>
          <w:sz w:val="28"/>
          <w:szCs w:val="28"/>
        </w:rPr>
        <w:t xml:space="preserve"> using analytical methods such as UV spectrophotometry. Uniform drug content ensures accurate dosing and consistent therapeutic effect.</w:t>
      </w:r>
    </w:p>
    <w:p w14:paraId="20F53099"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7. In Vitro Drug Release</w:t>
      </w:r>
    </w:p>
    <w:p w14:paraId="79562BCE"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 xml:space="preserve">In vitro drug release studies help to determine the rate and extent of drug release from semisolid dosage forms. It is usually performed using a diffusion cell or Franz diffusion cell with a suitable membrane. The formulation is applied to the membrane, and drug release into the receptor medium is measured over time. This test predicts the drug release </w:t>
      </w:r>
      <w:proofErr w:type="spellStart"/>
      <w:r w:rsidRPr="0033792F">
        <w:rPr>
          <w:rFonts w:ascii="Times New Roman" w:hAnsi="Times New Roman" w:cs="Times New Roman"/>
          <w:sz w:val="28"/>
          <w:szCs w:val="28"/>
        </w:rPr>
        <w:t>behavior</w:t>
      </w:r>
      <w:proofErr w:type="spellEnd"/>
      <w:r w:rsidRPr="0033792F">
        <w:rPr>
          <w:rFonts w:ascii="Times New Roman" w:hAnsi="Times New Roman" w:cs="Times New Roman"/>
          <w:sz w:val="28"/>
          <w:szCs w:val="28"/>
        </w:rPr>
        <w:t xml:space="preserve"> in the body.</w:t>
      </w:r>
    </w:p>
    <w:p w14:paraId="79DB6FF3"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8. Rheological Studies</w:t>
      </w:r>
    </w:p>
    <w:p w14:paraId="7262AFB1"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 xml:space="preserve">Rheology refers to the flow </w:t>
      </w:r>
      <w:proofErr w:type="spellStart"/>
      <w:r w:rsidRPr="0033792F">
        <w:rPr>
          <w:rFonts w:ascii="Times New Roman" w:hAnsi="Times New Roman" w:cs="Times New Roman"/>
          <w:sz w:val="28"/>
          <w:szCs w:val="28"/>
        </w:rPr>
        <w:t>behavior</w:t>
      </w:r>
      <w:proofErr w:type="spellEnd"/>
      <w:r w:rsidRPr="0033792F">
        <w:rPr>
          <w:rFonts w:ascii="Times New Roman" w:hAnsi="Times New Roman" w:cs="Times New Roman"/>
          <w:sz w:val="28"/>
          <w:szCs w:val="28"/>
        </w:rPr>
        <w:t xml:space="preserve"> of semisolid formulations. It is important for stability, </w:t>
      </w:r>
      <w:proofErr w:type="spellStart"/>
      <w:r w:rsidRPr="0033792F">
        <w:rPr>
          <w:rFonts w:ascii="Times New Roman" w:hAnsi="Times New Roman" w:cs="Times New Roman"/>
          <w:sz w:val="28"/>
          <w:szCs w:val="28"/>
        </w:rPr>
        <w:t>spreadability</w:t>
      </w:r>
      <w:proofErr w:type="spellEnd"/>
      <w:r w:rsidRPr="0033792F">
        <w:rPr>
          <w:rFonts w:ascii="Times New Roman" w:hAnsi="Times New Roman" w:cs="Times New Roman"/>
          <w:sz w:val="28"/>
          <w:szCs w:val="28"/>
        </w:rPr>
        <w:t xml:space="preserve">, and drug release. Rheological studies are conducted using a rheometer or viscometer. Semisolids generally show non-Newtonian flow </w:t>
      </w:r>
      <w:proofErr w:type="spellStart"/>
      <w:r w:rsidRPr="0033792F">
        <w:rPr>
          <w:rFonts w:ascii="Times New Roman" w:hAnsi="Times New Roman" w:cs="Times New Roman"/>
          <w:sz w:val="28"/>
          <w:szCs w:val="28"/>
        </w:rPr>
        <w:t>behavior</w:t>
      </w:r>
      <w:proofErr w:type="spellEnd"/>
      <w:r w:rsidRPr="0033792F">
        <w:rPr>
          <w:rFonts w:ascii="Times New Roman" w:hAnsi="Times New Roman" w:cs="Times New Roman"/>
          <w:sz w:val="28"/>
          <w:szCs w:val="28"/>
        </w:rPr>
        <w:t>. Proper rheology ensures easy application and stability during storage.</w:t>
      </w:r>
    </w:p>
    <w:p w14:paraId="4EFB013A"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9. Stability Studies</w:t>
      </w:r>
    </w:p>
    <w:p w14:paraId="0E6AE584"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 xml:space="preserve">Stability studies evaluate the physical, chemical, and microbiological stability of semisolid dosage forms over time. The formulation is stored at different temperatures and humidity conditions. Parameters like pH, viscosity, </w:t>
      </w:r>
      <w:proofErr w:type="spellStart"/>
      <w:r w:rsidRPr="0033792F">
        <w:rPr>
          <w:rFonts w:ascii="Times New Roman" w:hAnsi="Times New Roman" w:cs="Times New Roman"/>
          <w:sz w:val="28"/>
          <w:szCs w:val="28"/>
        </w:rPr>
        <w:t>color</w:t>
      </w:r>
      <w:proofErr w:type="spellEnd"/>
      <w:r w:rsidRPr="0033792F">
        <w:rPr>
          <w:rFonts w:ascii="Times New Roman" w:hAnsi="Times New Roman" w:cs="Times New Roman"/>
          <w:sz w:val="28"/>
          <w:szCs w:val="28"/>
        </w:rPr>
        <w:t xml:space="preserve">, </w:t>
      </w:r>
      <w:proofErr w:type="spellStart"/>
      <w:r w:rsidRPr="0033792F">
        <w:rPr>
          <w:rFonts w:ascii="Times New Roman" w:hAnsi="Times New Roman" w:cs="Times New Roman"/>
          <w:sz w:val="28"/>
          <w:szCs w:val="28"/>
        </w:rPr>
        <w:t>odor</w:t>
      </w:r>
      <w:proofErr w:type="spellEnd"/>
      <w:r w:rsidRPr="0033792F">
        <w:rPr>
          <w:rFonts w:ascii="Times New Roman" w:hAnsi="Times New Roman" w:cs="Times New Roman"/>
          <w:sz w:val="28"/>
          <w:szCs w:val="28"/>
        </w:rPr>
        <w:t>, and drug content are checked periodically. Stability studies help determine shelf life and storage conditions.</w:t>
      </w:r>
    </w:p>
    <w:p w14:paraId="35F3AB75"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10. Skin Irritation Test</w:t>
      </w:r>
    </w:p>
    <w:p w14:paraId="60056B50"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Skin irritation tests are performed to ensure safety for topical use. A small quantity of the formulation is applied to animal or human skin, and any signs of redness, swelling, or irritation are observed. A good semisolid formulation should be non-irritant and safe for use.</w:t>
      </w:r>
    </w:p>
    <w:p w14:paraId="4AF2C4A9"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t>11. Microbial Limit Test</w:t>
      </w:r>
    </w:p>
    <w:p w14:paraId="5E6F771C" w14:textId="77777777" w:rsidR="0033792F" w:rsidRPr="0033792F" w:rsidRDefault="0033792F" w:rsidP="0033792F">
      <w:pPr>
        <w:jc w:val="both"/>
        <w:rPr>
          <w:rFonts w:ascii="Times New Roman" w:hAnsi="Times New Roman" w:cs="Times New Roman"/>
          <w:sz w:val="28"/>
          <w:szCs w:val="28"/>
        </w:rPr>
      </w:pPr>
      <w:r w:rsidRPr="0033792F">
        <w:rPr>
          <w:rFonts w:ascii="Times New Roman" w:hAnsi="Times New Roman" w:cs="Times New Roman"/>
          <w:sz w:val="28"/>
          <w:szCs w:val="28"/>
        </w:rPr>
        <w:lastRenderedPageBreak/>
        <w:t>Semisolid dosage forms may support microbial growth due to the presence of water and nutrients. Therefore, microbial limit tests are conducted to check for contamination. The formulation should meet pharmacopeial standards for microbial count and absence of harmful microorganisms.</w:t>
      </w:r>
    </w:p>
    <w:sectPr w:rsidR="0033792F" w:rsidRPr="0033792F" w:rsidSect="00EF53BA">
      <w:pgSz w:w="12242" w:h="15842"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2F"/>
    <w:rsid w:val="001F29ED"/>
    <w:rsid w:val="00261544"/>
    <w:rsid w:val="0033792F"/>
    <w:rsid w:val="006163FE"/>
    <w:rsid w:val="00B01E3D"/>
    <w:rsid w:val="00B15E00"/>
    <w:rsid w:val="00EF53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15A3"/>
  <w15:chartTrackingRefBased/>
  <w15:docId w15:val="{2660B8DA-3723-4064-9FBC-0B5C7EC5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7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79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79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79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79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9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9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9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9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79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79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79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79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79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9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9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92F"/>
    <w:rPr>
      <w:rFonts w:eastAsiaTheme="majorEastAsia" w:cstheme="majorBidi"/>
      <w:color w:val="272727" w:themeColor="text1" w:themeTint="D8"/>
    </w:rPr>
  </w:style>
  <w:style w:type="paragraph" w:styleId="Title">
    <w:name w:val="Title"/>
    <w:basedOn w:val="Normal"/>
    <w:next w:val="Normal"/>
    <w:link w:val="TitleChar"/>
    <w:uiPriority w:val="10"/>
    <w:qFormat/>
    <w:rsid w:val="00337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9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9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92F"/>
    <w:pPr>
      <w:spacing w:before="160"/>
      <w:jc w:val="center"/>
    </w:pPr>
    <w:rPr>
      <w:i/>
      <w:iCs/>
      <w:color w:val="404040" w:themeColor="text1" w:themeTint="BF"/>
    </w:rPr>
  </w:style>
  <w:style w:type="character" w:customStyle="1" w:styleId="QuoteChar">
    <w:name w:val="Quote Char"/>
    <w:basedOn w:val="DefaultParagraphFont"/>
    <w:link w:val="Quote"/>
    <w:uiPriority w:val="29"/>
    <w:rsid w:val="0033792F"/>
    <w:rPr>
      <w:i/>
      <w:iCs/>
      <w:color w:val="404040" w:themeColor="text1" w:themeTint="BF"/>
    </w:rPr>
  </w:style>
  <w:style w:type="paragraph" w:styleId="ListParagraph">
    <w:name w:val="List Paragraph"/>
    <w:basedOn w:val="Normal"/>
    <w:uiPriority w:val="34"/>
    <w:qFormat/>
    <w:rsid w:val="0033792F"/>
    <w:pPr>
      <w:ind w:left="720"/>
      <w:contextualSpacing/>
    </w:pPr>
  </w:style>
  <w:style w:type="character" w:styleId="IntenseEmphasis">
    <w:name w:val="Intense Emphasis"/>
    <w:basedOn w:val="DefaultParagraphFont"/>
    <w:uiPriority w:val="21"/>
    <w:qFormat/>
    <w:rsid w:val="0033792F"/>
    <w:rPr>
      <w:i/>
      <w:iCs/>
      <w:color w:val="2F5496" w:themeColor="accent1" w:themeShade="BF"/>
    </w:rPr>
  </w:style>
  <w:style w:type="paragraph" w:styleId="IntenseQuote">
    <w:name w:val="Intense Quote"/>
    <w:basedOn w:val="Normal"/>
    <w:next w:val="Normal"/>
    <w:link w:val="IntenseQuoteChar"/>
    <w:uiPriority w:val="30"/>
    <w:qFormat/>
    <w:rsid w:val="00337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792F"/>
    <w:rPr>
      <w:i/>
      <w:iCs/>
      <w:color w:val="2F5496" w:themeColor="accent1" w:themeShade="BF"/>
    </w:rPr>
  </w:style>
  <w:style w:type="character" w:styleId="IntenseReference">
    <w:name w:val="Intense Reference"/>
    <w:basedOn w:val="DefaultParagraphFont"/>
    <w:uiPriority w:val="32"/>
    <w:qFormat/>
    <w:rsid w:val="003379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642</Words>
  <Characters>3661</Characters>
  <Application>Microsoft Office Word</Application>
  <DocSecurity>0</DocSecurity>
  <Lines>30</Lines>
  <Paragraphs>8</Paragraphs>
  <ScaleCrop>false</ScaleCrop>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navya jyothi</dc:creator>
  <cp:keywords/>
  <dc:description/>
  <cp:lastModifiedBy>navya jyothi</cp:lastModifiedBy>
  <cp:revision>1</cp:revision>
  <dcterms:created xsi:type="dcterms:W3CDTF">2026-02-13T08:14:00Z</dcterms:created>
  <dcterms:modified xsi:type="dcterms:W3CDTF">2026-02-13T08:17:00Z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9f415f03-4cdb-4e00-b853-81e66ba23156</vt:lpwstr>
  </property>
</Properties>
</file>