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CD2A7E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194F7E">
        <w:rPr>
          <w:rFonts w:ascii="Times New Roman" w:hAnsi="Times New Roman" w:cs="Times New Roman"/>
          <w:sz w:val="24"/>
          <w:szCs w:val="24"/>
        </w:rPr>
        <w:t>5(pH, BUFFERS AND ISOTONIC SOLUTIONS)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0178AE">
        <w:rPr>
          <w:rFonts w:ascii="Times New Roman" w:hAnsi="Times New Roman" w:cs="Times New Roman"/>
          <w:sz w:val="24"/>
          <w:szCs w:val="24"/>
        </w:rPr>
        <w:t>44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0178AE" w:rsidRDefault="00DA1A81" w:rsidP="00B06C2F">
      <w:pPr>
        <w:jc w:val="center"/>
        <w:rPr>
          <w:rFonts w:ascii="Times New Roman" w:hAnsi="Times New Roman" w:cs="Times New Roman"/>
          <w:b/>
          <w:color w:val="C00000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8AE" w:rsidRPr="000178AE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BUFFERED ISOTONIC SOLUTIONS</w:t>
      </w:r>
    </w:p>
    <w:p w:rsidR="000178AE" w:rsidRPr="000178AE" w:rsidRDefault="000178AE" w:rsidP="000178A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Buffered isotonic solutions are </w:t>
      </w:r>
      <w:r w:rsidRPr="000178AE">
        <w:rPr>
          <w:rStyle w:val="Strong"/>
          <w:color w:val="000000" w:themeColor="text1"/>
          <w:sz w:val="28"/>
          <w:szCs w:val="28"/>
        </w:rPr>
        <w:t>aqueous solutions</w:t>
      </w:r>
      <w:r w:rsidRPr="000178AE">
        <w:rPr>
          <w:color w:val="000000" w:themeColor="text1"/>
          <w:sz w:val="28"/>
          <w:szCs w:val="28"/>
        </w:rPr>
        <w:t xml:space="preserve"> that are </w:t>
      </w:r>
      <w:r w:rsidRPr="000178AE">
        <w:rPr>
          <w:rStyle w:val="Strong"/>
          <w:color w:val="000000" w:themeColor="text1"/>
          <w:sz w:val="28"/>
          <w:szCs w:val="28"/>
        </w:rPr>
        <w:t>both isotonic and buffered</w:t>
      </w:r>
      <w:r w:rsidRPr="000178AE">
        <w:rPr>
          <w:color w:val="000000" w:themeColor="text1"/>
          <w:sz w:val="28"/>
          <w:szCs w:val="28"/>
        </w:rPr>
        <w:t xml:space="preserve">. They maintain a </w:t>
      </w:r>
      <w:r w:rsidRPr="000178AE">
        <w:rPr>
          <w:rStyle w:val="Strong"/>
          <w:color w:val="000000" w:themeColor="text1"/>
          <w:sz w:val="28"/>
          <w:szCs w:val="28"/>
        </w:rPr>
        <w:t>pH within the desired range</w:t>
      </w:r>
      <w:r w:rsidRPr="000178AE">
        <w:rPr>
          <w:color w:val="000000" w:themeColor="text1"/>
          <w:sz w:val="28"/>
          <w:szCs w:val="28"/>
        </w:rPr>
        <w:t xml:space="preserve"> and </w:t>
      </w:r>
      <w:r w:rsidRPr="000178AE">
        <w:rPr>
          <w:rStyle w:val="Strong"/>
          <w:color w:val="000000" w:themeColor="text1"/>
          <w:sz w:val="28"/>
          <w:szCs w:val="28"/>
        </w:rPr>
        <w:t>osmotic pressure similar to that of body fluids</w:t>
      </w:r>
      <w:r w:rsidRPr="000178AE">
        <w:rPr>
          <w:color w:val="000000" w:themeColor="text1"/>
          <w:sz w:val="28"/>
          <w:szCs w:val="28"/>
        </w:rPr>
        <w:t xml:space="preserve">, making them safe for administration. Such solutions are commonly used in </w:t>
      </w:r>
      <w:r w:rsidRPr="000178AE">
        <w:rPr>
          <w:rStyle w:val="Strong"/>
          <w:color w:val="000000" w:themeColor="text1"/>
          <w:sz w:val="28"/>
          <w:szCs w:val="28"/>
        </w:rPr>
        <w:t>ophthalmic, injectable, and parenteral formulations</w:t>
      </w:r>
      <w:r w:rsidRPr="000178AE">
        <w:rPr>
          <w:color w:val="000000" w:themeColor="text1"/>
          <w:sz w:val="28"/>
          <w:szCs w:val="28"/>
        </w:rPr>
        <w:t>.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Definitions</w:t>
      </w:r>
    </w:p>
    <w:p w:rsidR="000178AE" w:rsidRPr="000178AE" w:rsidRDefault="000178AE" w:rsidP="000178A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1. Isotonic Solution</w:t>
      </w:r>
    </w:p>
    <w:p w:rsidR="000178AE" w:rsidRPr="000178AE" w:rsidRDefault="000178AE" w:rsidP="000178A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A solution having </w:t>
      </w:r>
      <w:r w:rsidRPr="000178AE">
        <w:rPr>
          <w:rStyle w:val="Strong"/>
          <w:color w:val="000000" w:themeColor="text1"/>
          <w:sz w:val="28"/>
          <w:szCs w:val="28"/>
        </w:rPr>
        <w:t>the same osmotic pressure</w:t>
      </w:r>
      <w:r w:rsidRPr="000178AE">
        <w:rPr>
          <w:color w:val="000000" w:themeColor="text1"/>
          <w:sz w:val="28"/>
          <w:szCs w:val="28"/>
        </w:rPr>
        <w:t xml:space="preserve"> as </w:t>
      </w:r>
      <w:r w:rsidRPr="000178AE">
        <w:rPr>
          <w:rStyle w:val="Strong"/>
          <w:color w:val="000000" w:themeColor="text1"/>
          <w:sz w:val="28"/>
          <w:szCs w:val="28"/>
        </w:rPr>
        <w:t>body fluids (plasma or tears)</w:t>
      </w:r>
      <w:r w:rsidRPr="000178AE">
        <w:rPr>
          <w:color w:val="000000" w:themeColor="text1"/>
          <w:sz w:val="28"/>
          <w:szCs w:val="28"/>
        </w:rPr>
        <w:t xml:space="preserve">, </w:t>
      </w:r>
      <w:proofErr w:type="gramStart"/>
      <w:r w:rsidRPr="000178AE">
        <w:rPr>
          <w:color w:val="000000" w:themeColor="text1"/>
          <w:sz w:val="28"/>
          <w:szCs w:val="28"/>
        </w:rPr>
        <w:t>which</w:t>
      </w:r>
      <w:proofErr w:type="gramEnd"/>
      <w:r w:rsidRPr="000178AE">
        <w:rPr>
          <w:color w:val="000000" w:themeColor="text1"/>
          <w:sz w:val="28"/>
          <w:szCs w:val="28"/>
        </w:rPr>
        <w:t xml:space="preserve"> prevents </w:t>
      </w:r>
      <w:r w:rsidRPr="000178AE">
        <w:rPr>
          <w:rStyle w:val="Strong"/>
          <w:color w:val="000000" w:themeColor="text1"/>
          <w:sz w:val="28"/>
          <w:szCs w:val="28"/>
        </w:rPr>
        <w:t>cell shrinkage or swelling</w:t>
      </w:r>
      <w:r w:rsidRPr="000178AE">
        <w:rPr>
          <w:color w:val="000000" w:themeColor="text1"/>
          <w:sz w:val="28"/>
          <w:szCs w:val="28"/>
        </w:rPr>
        <w:t>.</w:t>
      </w:r>
    </w:p>
    <w:p w:rsidR="000178AE" w:rsidRPr="000178AE" w:rsidRDefault="000178AE" w:rsidP="000178A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2. Buffered Solution</w:t>
      </w:r>
    </w:p>
    <w:p w:rsidR="000178AE" w:rsidRPr="000178AE" w:rsidRDefault="000178AE" w:rsidP="000178A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A solution that </w:t>
      </w:r>
      <w:r w:rsidRPr="000178AE">
        <w:rPr>
          <w:rStyle w:val="Strong"/>
          <w:color w:val="000000" w:themeColor="text1"/>
          <w:sz w:val="28"/>
          <w:szCs w:val="28"/>
        </w:rPr>
        <w:t>resists changes in pH</w:t>
      </w:r>
      <w:r w:rsidRPr="000178AE">
        <w:rPr>
          <w:color w:val="000000" w:themeColor="text1"/>
          <w:sz w:val="28"/>
          <w:szCs w:val="28"/>
        </w:rPr>
        <w:t xml:space="preserve"> upon addition of small amounts of acid or base.</w:t>
      </w:r>
    </w:p>
    <w:p w:rsidR="000178AE" w:rsidRPr="000178AE" w:rsidRDefault="000178AE" w:rsidP="000178A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3. Buffered Isotonic Solution</w:t>
      </w:r>
    </w:p>
    <w:p w:rsidR="000178AE" w:rsidRPr="000178AE" w:rsidRDefault="000178AE" w:rsidP="000178A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A solution that is </w:t>
      </w:r>
      <w:r w:rsidRPr="000178AE">
        <w:rPr>
          <w:rStyle w:val="Strong"/>
          <w:color w:val="000000" w:themeColor="text1"/>
          <w:sz w:val="28"/>
          <w:szCs w:val="28"/>
        </w:rPr>
        <w:t>both isotonic and pH-stable</w:t>
      </w:r>
      <w:r w:rsidRPr="000178AE">
        <w:rPr>
          <w:color w:val="000000" w:themeColor="text1"/>
          <w:sz w:val="28"/>
          <w:szCs w:val="28"/>
        </w:rPr>
        <w:t xml:space="preserve">, ensuring </w:t>
      </w:r>
      <w:r w:rsidRPr="000178AE">
        <w:rPr>
          <w:rStyle w:val="Strong"/>
          <w:color w:val="000000" w:themeColor="text1"/>
          <w:sz w:val="28"/>
          <w:szCs w:val="28"/>
        </w:rPr>
        <w:t>drug stability, safety, and patient comfort</w:t>
      </w:r>
      <w:r w:rsidRPr="000178AE">
        <w:rPr>
          <w:color w:val="000000" w:themeColor="text1"/>
          <w:sz w:val="28"/>
          <w:szCs w:val="28"/>
        </w:rPr>
        <w:t>.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Importance</w:t>
      </w:r>
    </w:p>
    <w:p w:rsidR="000178AE" w:rsidRPr="000178AE" w:rsidRDefault="000178AE" w:rsidP="0008621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Prevents irritation</w:t>
      </w:r>
      <w:r w:rsidRPr="000178AE">
        <w:rPr>
          <w:color w:val="000000" w:themeColor="text1"/>
          <w:sz w:val="28"/>
          <w:szCs w:val="28"/>
        </w:rPr>
        <w:t xml:space="preserve"> of tissues (eye, veins)</w:t>
      </w:r>
    </w:p>
    <w:p w:rsidR="000178AE" w:rsidRPr="000178AE" w:rsidRDefault="000178AE" w:rsidP="0008621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Maintains </w:t>
      </w:r>
      <w:r w:rsidRPr="000178AE">
        <w:rPr>
          <w:rStyle w:val="Strong"/>
          <w:color w:val="000000" w:themeColor="text1"/>
          <w:sz w:val="28"/>
          <w:szCs w:val="28"/>
        </w:rPr>
        <w:t>drug stability</w:t>
      </w:r>
    </w:p>
    <w:p w:rsidR="000178AE" w:rsidRPr="000178AE" w:rsidRDefault="000178AE" w:rsidP="0008621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Ensures </w:t>
      </w:r>
      <w:r w:rsidRPr="000178AE">
        <w:rPr>
          <w:rStyle w:val="Strong"/>
          <w:color w:val="000000" w:themeColor="text1"/>
          <w:sz w:val="28"/>
          <w:szCs w:val="28"/>
        </w:rPr>
        <w:t>therapeutic efficacy</w:t>
      </w:r>
    </w:p>
    <w:p w:rsidR="000178AE" w:rsidRPr="000178AE" w:rsidRDefault="000178AE" w:rsidP="0008621A">
      <w:pPr>
        <w:pStyle w:val="NormalWeb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Suitable for </w:t>
      </w:r>
      <w:r w:rsidRPr="000178AE">
        <w:rPr>
          <w:rStyle w:val="Strong"/>
          <w:color w:val="000000" w:themeColor="text1"/>
          <w:sz w:val="28"/>
          <w:szCs w:val="28"/>
        </w:rPr>
        <w:t>injectable and ophthalmic preparations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Components of Buffered Isotonic Solutions</w:t>
      </w:r>
    </w:p>
    <w:p w:rsidR="000178AE" w:rsidRPr="000178AE" w:rsidRDefault="000178AE" w:rsidP="0008621A">
      <w:pPr>
        <w:pStyle w:val="NormalWeb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Water</w:t>
      </w:r>
      <w:r w:rsidRPr="000178AE">
        <w:rPr>
          <w:color w:val="000000" w:themeColor="text1"/>
          <w:sz w:val="28"/>
          <w:szCs w:val="28"/>
        </w:rPr>
        <w:t xml:space="preserve"> – solvent</w:t>
      </w:r>
    </w:p>
    <w:p w:rsidR="000178AE" w:rsidRPr="000178AE" w:rsidRDefault="000178AE" w:rsidP="0008621A">
      <w:pPr>
        <w:pStyle w:val="NormalWeb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Active drug</w:t>
      </w:r>
      <w:r w:rsidRPr="000178AE">
        <w:rPr>
          <w:color w:val="000000" w:themeColor="text1"/>
          <w:sz w:val="28"/>
          <w:szCs w:val="28"/>
        </w:rPr>
        <w:t xml:space="preserve"> – therapeutic agent</w:t>
      </w:r>
    </w:p>
    <w:p w:rsidR="000178AE" w:rsidRPr="000178AE" w:rsidRDefault="000178AE" w:rsidP="0008621A">
      <w:pPr>
        <w:pStyle w:val="NormalWeb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Buffering agent</w:t>
      </w:r>
      <w:r w:rsidRPr="000178AE">
        <w:rPr>
          <w:color w:val="000000" w:themeColor="text1"/>
          <w:sz w:val="28"/>
          <w:szCs w:val="28"/>
        </w:rPr>
        <w:t xml:space="preserve"> – maintains pH</w:t>
      </w:r>
    </w:p>
    <w:p w:rsidR="000178AE" w:rsidRPr="000178AE" w:rsidRDefault="000178AE" w:rsidP="0008621A">
      <w:pPr>
        <w:pStyle w:val="NormalWeb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Tonicity agent</w:t>
      </w:r>
      <w:r w:rsidRPr="000178AE">
        <w:rPr>
          <w:color w:val="000000" w:themeColor="text1"/>
          <w:sz w:val="28"/>
          <w:szCs w:val="28"/>
        </w:rPr>
        <w:t xml:space="preserve"> – ensures </w:t>
      </w:r>
      <w:proofErr w:type="spellStart"/>
      <w:r w:rsidRPr="000178AE">
        <w:rPr>
          <w:color w:val="000000" w:themeColor="text1"/>
          <w:sz w:val="28"/>
          <w:szCs w:val="28"/>
        </w:rPr>
        <w:t>isotonicity</w:t>
      </w:r>
      <w:proofErr w:type="spellEnd"/>
      <w:r w:rsidRPr="000178AE">
        <w:rPr>
          <w:color w:val="000000" w:themeColor="text1"/>
          <w:sz w:val="28"/>
          <w:szCs w:val="28"/>
        </w:rPr>
        <w:t xml:space="preserve"> (e.g., </w:t>
      </w:r>
      <w:proofErr w:type="spellStart"/>
      <w:r w:rsidRPr="000178AE">
        <w:rPr>
          <w:color w:val="000000" w:themeColor="text1"/>
          <w:sz w:val="28"/>
          <w:szCs w:val="28"/>
        </w:rPr>
        <w:t>NaCl</w:t>
      </w:r>
      <w:proofErr w:type="spellEnd"/>
      <w:r w:rsidRPr="000178AE">
        <w:rPr>
          <w:color w:val="000000" w:themeColor="text1"/>
          <w:sz w:val="28"/>
          <w:szCs w:val="28"/>
        </w:rPr>
        <w:t>, dextrose)</w:t>
      </w:r>
    </w:p>
    <w:p w:rsidR="000178AE" w:rsidRPr="000178AE" w:rsidRDefault="000178AE" w:rsidP="0008621A">
      <w:pPr>
        <w:pStyle w:val="NormalWeb"/>
        <w:numPr>
          <w:ilvl w:val="0"/>
          <w:numId w:val="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Preservatives (optional)</w:t>
      </w:r>
      <w:r w:rsidRPr="000178AE">
        <w:rPr>
          <w:color w:val="000000" w:themeColor="text1"/>
          <w:sz w:val="28"/>
          <w:szCs w:val="28"/>
        </w:rPr>
        <w:t xml:space="preserve"> – for multi-dose formulations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Tonicity Adjustment</w:t>
      </w:r>
    </w:p>
    <w:p w:rsidR="000178AE" w:rsidRPr="000178AE" w:rsidRDefault="000178AE" w:rsidP="0008621A">
      <w:pPr>
        <w:pStyle w:val="NormalWeb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Tonicity is adjusted using </w:t>
      </w:r>
      <w:r w:rsidRPr="000178AE">
        <w:rPr>
          <w:rStyle w:val="Strong"/>
          <w:color w:val="000000" w:themeColor="text1"/>
          <w:sz w:val="28"/>
          <w:szCs w:val="28"/>
        </w:rPr>
        <w:t>sodium chloride equivalent (E value)</w:t>
      </w:r>
    </w:p>
    <w:p w:rsidR="000178AE" w:rsidRPr="000178AE" w:rsidRDefault="000178AE" w:rsidP="0008621A">
      <w:pPr>
        <w:pStyle w:val="NormalWeb"/>
        <w:numPr>
          <w:ilvl w:val="0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Methods:</w:t>
      </w:r>
    </w:p>
    <w:p w:rsidR="000178AE" w:rsidRPr="000178AE" w:rsidRDefault="000178AE" w:rsidP="0008621A">
      <w:pPr>
        <w:pStyle w:val="NormalWeb"/>
        <w:numPr>
          <w:ilvl w:val="1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Freezing point depression</w:t>
      </w:r>
    </w:p>
    <w:p w:rsidR="000178AE" w:rsidRPr="000178AE" w:rsidRDefault="000178AE" w:rsidP="0008621A">
      <w:pPr>
        <w:pStyle w:val="NormalWeb"/>
        <w:numPr>
          <w:ilvl w:val="1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0178AE">
        <w:rPr>
          <w:rStyle w:val="Strong"/>
          <w:color w:val="000000" w:themeColor="text1"/>
          <w:sz w:val="28"/>
          <w:szCs w:val="28"/>
        </w:rPr>
        <w:t>Cryoscopic</w:t>
      </w:r>
      <w:proofErr w:type="spellEnd"/>
      <w:r w:rsidRPr="000178AE">
        <w:rPr>
          <w:rStyle w:val="Strong"/>
          <w:color w:val="000000" w:themeColor="text1"/>
          <w:sz w:val="28"/>
          <w:szCs w:val="28"/>
        </w:rPr>
        <w:t xml:space="preserve"> method</w:t>
      </w:r>
    </w:p>
    <w:p w:rsidR="000178AE" w:rsidRPr="000178AE" w:rsidRDefault="000178AE" w:rsidP="0008621A">
      <w:pPr>
        <w:pStyle w:val="NormalWeb"/>
        <w:numPr>
          <w:ilvl w:val="1"/>
          <w:numId w:val="3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0178AE">
        <w:rPr>
          <w:rStyle w:val="Strong"/>
          <w:color w:val="000000" w:themeColor="text1"/>
          <w:sz w:val="28"/>
          <w:szCs w:val="28"/>
        </w:rPr>
        <w:t>NaCl</w:t>
      </w:r>
      <w:proofErr w:type="spellEnd"/>
      <w:r w:rsidRPr="000178AE">
        <w:rPr>
          <w:rStyle w:val="Strong"/>
          <w:color w:val="000000" w:themeColor="text1"/>
          <w:sz w:val="28"/>
          <w:szCs w:val="28"/>
        </w:rPr>
        <w:t xml:space="preserve"> equivalent calculation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Common Pharmaceutical Buffers Used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1266"/>
        <w:gridCol w:w="3964"/>
      </w:tblGrid>
      <w:tr w:rsidR="000178AE" w:rsidRPr="000178AE" w:rsidTr="000178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Buffer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pH Range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Applications</w:t>
            </w:r>
          </w:p>
        </w:tc>
      </w:tr>
      <w:tr w:rsidR="000178AE" w:rsidRPr="000178AE" w:rsidTr="00017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Phosphate buffer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5.8–8.0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Injectable &amp; ophthalmic solutions</w:t>
            </w:r>
          </w:p>
        </w:tc>
      </w:tr>
      <w:tr w:rsidR="000178AE" w:rsidRPr="000178AE" w:rsidTr="00017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Citrate buffer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3.0–6.2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Oral liquids &amp; </w:t>
            </w:r>
            <w:proofErr w:type="spellStart"/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injectables</w:t>
            </w:r>
            <w:proofErr w:type="spellEnd"/>
          </w:p>
        </w:tc>
      </w:tr>
      <w:tr w:rsidR="000178AE" w:rsidRPr="000178AE" w:rsidTr="00017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Borate buffer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7.0–9.0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Ophthalmic solutions</w:t>
            </w:r>
          </w:p>
        </w:tc>
      </w:tr>
      <w:tr w:rsidR="000178AE" w:rsidRPr="000178AE" w:rsidTr="000178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Acetate buffer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3.6–5.6</w:t>
            </w:r>
          </w:p>
        </w:tc>
        <w:tc>
          <w:tcPr>
            <w:tcW w:w="0" w:type="auto"/>
            <w:vAlign w:val="center"/>
            <w:hideMark/>
          </w:tcPr>
          <w:p w:rsidR="000178AE" w:rsidRPr="000178AE" w:rsidRDefault="000178AE" w:rsidP="000178A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Acidic </w:t>
            </w:r>
            <w:proofErr w:type="spellStart"/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injectables</w:t>
            </w:r>
            <w:proofErr w:type="spellEnd"/>
            <w:r w:rsidRPr="000178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&amp; oral solutions</w:t>
            </w:r>
          </w:p>
        </w:tc>
      </w:tr>
    </w:tbl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Preparation Principles</w:t>
      </w:r>
    </w:p>
    <w:p w:rsidR="000178AE" w:rsidRPr="000178AE" w:rsidRDefault="000178AE" w:rsidP="0008621A">
      <w:pPr>
        <w:pStyle w:val="NormalWeb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Select appropriate buffer system</w:t>
      </w:r>
      <w:r w:rsidRPr="000178AE">
        <w:rPr>
          <w:color w:val="000000" w:themeColor="text1"/>
          <w:sz w:val="28"/>
          <w:szCs w:val="28"/>
        </w:rPr>
        <w:t xml:space="preserve"> for desired pH</w:t>
      </w:r>
    </w:p>
    <w:p w:rsidR="000178AE" w:rsidRPr="000178AE" w:rsidRDefault="000178AE" w:rsidP="0008621A">
      <w:pPr>
        <w:pStyle w:val="NormalWeb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 xml:space="preserve">Adjust </w:t>
      </w:r>
      <w:proofErr w:type="spellStart"/>
      <w:r w:rsidRPr="000178AE">
        <w:rPr>
          <w:rStyle w:val="Strong"/>
          <w:color w:val="000000" w:themeColor="text1"/>
          <w:sz w:val="28"/>
          <w:szCs w:val="28"/>
        </w:rPr>
        <w:t>isotonicity</w:t>
      </w:r>
      <w:proofErr w:type="spellEnd"/>
      <w:r w:rsidRPr="000178AE">
        <w:rPr>
          <w:color w:val="000000" w:themeColor="text1"/>
          <w:sz w:val="28"/>
          <w:szCs w:val="28"/>
        </w:rPr>
        <w:t xml:space="preserve"> using </w:t>
      </w:r>
      <w:proofErr w:type="spellStart"/>
      <w:r w:rsidRPr="000178AE">
        <w:rPr>
          <w:color w:val="000000" w:themeColor="text1"/>
          <w:sz w:val="28"/>
          <w:szCs w:val="28"/>
        </w:rPr>
        <w:t>NaCl</w:t>
      </w:r>
      <w:proofErr w:type="spellEnd"/>
      <w:r w:rsidRPr="000178AE">
        <w:rPr>
          <w:color w:val="000000" w:themeColor="text1"/>
          <w:sz w:val="28"/>
          <w:szCs w:val="28"/>
        </w:rPr>
        <w:t xml:space="preserve"> or other suitable agents</w:t>
      </w:r>
    </w:p>
    <w:p w:rsidR="000178AE" w:rsidRPr="000178AE" w:rsidRDefault="000178AE" w:rsidP="0008621A">
      <w:pPr>
        <w:pStyle w:val="NormalWeb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Ensure compatibility</w:t>
      </w:r>
      <w:r w:rsidRPr="000178AE">
        <w:rPr>
          <w:color w:val="000000" w:themeColor="text1"/>
          <w:sz w:val="28"/>
          <w:szCs w:val="28"/>
        </w:rPr>
        <w:t xml:space="preserve"> with drug and excipients</w:t>
      </w:r>
    </w:p>
    <w:p w:rsidR="000178AE" w:rsidRPr="000178AE" w:rsidRDefault="000178AE" w:rsidP="0008621A">
      <w:pPr>
        <w:pStyle w:val="NormalWeb"/>
        <w:numPr>
          <w:ilvl w:val="0"/>
          <w:numId w:val="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Sterilize</w:t>
      </w:r>
      <w:r w:rsidRPr="000178AE">
        <w:rPr>
          <w:color w:val="000000" w:themeColor="text1"/>
          <w:sz w:val="28"/>
          <w:szCs w:val="28"/>
        </w:rPr>
        <w:t xml:space="preserve"> if for parenteral or ophthalmic use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Example</w:t>
      </w:r>
    </w:p>
    <w:p w:rsidR="000178AE" w:rsidRPr="000178AE" w:rsidRDefault="000178AE" w:rsidP="000178AE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Ophthalmic buffered isotonic solution:</w:t>
      </w:r>
    </w:p>
    <w:p w:rsidR="000178AE" w:rsidRPr="000178AE" w:rsidRDefault="000178AE" w:rsidP="0008621A">
      <w:pPr>
        <w:pStyle w:val="NormalWeb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pH: 7.2</w:t>
      </w:r>
    </w:p>
    <w:p w:rsidR="000178AE" w:rsidRPr="000178AE" w:rsidRDefault="000178AE" w:rsidP="0008621A">
      <w:pPr>
        <w:pStyle w:val="NormalWeb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Buffer: Phosphate buffer</w:t>
      </w:r>
    </w:p>
    <w:p w:rsidR="000178AE" w:rsidRPr="000178AE" w:rsidRDefault="000178AE" w:rsidP="0008621A">
      <w:pPr>
        <w:pStyle w:val="NormalWeb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Tonicity agent: </w:t>
      </w:r>
      <w:proofErr w:type="spellStart"/>
      <w:r w:rsidRPr="000178AE">
        <w:rPr>
          <w:color w:val="000000" w:themeColor="text1"/>
          <w:sz w:val="28"/>
          <w:szCs w:val="28"/>
        </w:rPr>
        <w:t>NaCl</w:t>
      </w:r>
      <w:proofErr w:type="spellEnd"/>
      <w:r w:rsidRPr="000178AE">
        <w:rPr>
          <w:color w:val="000000" w:themeColor="text1"/>
          <w:sz w:val="28"/>
          <w:szCs w:val="28"/>
        </w:rPr>
        <w:t xml:space="preserve"> (0.9%)</w:t>
      </w:r>
    </w:p>
    <w:p w:rsidR="000178AE" w:rsidRPr="000178AE" w:rsidRDefault="000178AE" w:rsidP="0008621A">
      <w:pPr>
        <w:pStyle w:val="NormalWeb"/>
        <w:numPr>
          <w:ilvl w:val="0"/>
          <w:numId w:val="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Active ingredient: Antibiotic drops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Methods of Formulation</w:t>
      </w:r>
    </w:p>
    <w:p w:rsidR="000178AE" w:rsidRPr="000178AE" w:rsidRDefault="000178AE" w:rsidP="000178A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1. Separate Adjustment Method</w:t>
      </w:r>
    </w:p>
    <w:p w:rsidR="000178AE" w:rsidRPr="000178AE" w:rsidRDefault="000178AE" w:rsidP="0008621A">
      <w:pPr>
        <w:pStyle w:val="NormalWeb"/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Prepare buffer at desired pH</w:t>
      </w:r>
    </w:p>
    <w:p w:rsidR="000178AE" w:rsidRPr="000178AE" w:rsidRDefault="000178AE" w:rsidP="0008621A">
      <w:pPr>
        <w:pStyle w:val="NormalWeb"/>
        <w:numPr>
          <w:ilvl w:val="0"/>
          <w:numId w:val="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Adjust tonicity separately with </w:t>
      </w:r>
      <w:proofErr w:type="spellStart"/>
      <w:r w:rsidRPr="000178AE">
        <w:rPr>
          <w:color w:val="000000" w:themeColor="text1"/>
          <w:sz w:val="28"/>
          <w:szCs w:val="28"/>
        </w:rPr>
        <w:t>NaCl</w:t>
      </w:r>
      <w:proofErr w:type="spellEnd"/>
    </w:p>
    <w:p w:rsidR="000178AE" w:rsidRPr="000178AE" w:rsidRDefault="000178AE" w:rsidP="000178AE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2. Combined Adjustment Method</w:t>
      </w:r>
    </w:p>
    <w:p w:rsidR="000178AE" w:rsidRPr="000178AE" w:rsidRDefault="000178AE" w:rsidP="0008621A">
      <w:pPr>
        <w:pStyle w:val="NormalWeb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Prepare solution with buffer and tonicity agent simultaneously</w:t>
      </w:r>
    </w:p>
    <w:p w:rsidR="000178AE" w:rsidRPr="000178AE" w:rsidRDefault="000178AE" w:rsidP="0008621A">
      <w:pPr>
        <w:pStyle w:val="NormalWeb"/>
        <w:numPr>
          <w:ilvl w:val="0"/>
          <w:numId w:val="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Adjust pH and </w:t>
      </w:r>
      <w:proofErr w:type="spellStart"/>
      <w:r w:rsidRPr="000178AE">
        <w:rPr>
          <w:color w:val="000000" w:themeColor="text1"/>
          <w:sz w:val="28"/>
          <w:szCs w:val="28"/>
        </w:rPr>
        <w:t>isotonicity</w:t>
      </w:r>
      <w:proofErr w:type="spellEnd"/>
      <w:r w:rsidRPr="000178AE">
        <w:rPr>
          <w:color w:val="000000" w:themeColor="text1"/>
          <w:sz w:val="28"/>
          <w:szCs w:val="28"/>
        </w:rPr>
        <w:t xml:space="preserve"> together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Evaluation Parameters</w:t>
      </w:r>
    </w:p>
    <w:p w:rsidR="000178AE" w:rsidRPr="000178AE" w:rsidRDefault="000178AE" w:rsidP="0008621A">
      <w:pPr>
        <w:pStyle w:val="NormalWeb"/>
        <w:numPr>
          <w:ilvl w:val="0"/>
          <w:numId w:val="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pH measurement</w:t>
      </w:r>
      <w:r w:rsidRPr="000178AE">
        <w:rPr>
          <w:color w:val="000000" w:themeColor="text1"/>
          <w:sz w:val="28"/>
          <w:szCs w:val="28"/>
        </w:rPr>
        <w:t xml:space="preserve"> – using pH meter</w:t>
      </w:r>
    </w:p>
    <w:p w:rsidR="000178AE" w:rsidRPr="000178AE" w:rsidRDefault="000178AE" w:rsidP="0008621A">
      <w:pPr>
        <w:pStyle w:val="NormalWeb"/>
        <w:numPr>
          <w:ilvl w:val="0"/>
          <w:numId w:val="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Osmolality / tonicity</w:t>
      </w:r>
      <w:r w:rsidRPr="000178AE">
        <w:rPr>
          <w:color w:val="000000" w:themeColor="text1"/>
          <w:sz w:val="28"/>
          <w:szCs w:val="28"/>
        </w:rPr>
        <w:t xml:space="preserve"> – must match physiological fluids</w:t>
      </w:r>
    </w:p>
    <w:p w:rsidR="000178AE" w:rsidRPr="000178AE" w:rsidRDefault="000178AE" w:rsidP="0008621A">
      <w:pPr>
        <w:pStyle w:val="NormalWeb"/>
        <w:numPr>
          <w:ilvl w:val="0"/>
          <w:numId w:val="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Stability studies</w:t>
      </w:r>
      <w:r w:rsidRPr="000178AE">
        <w:rPr>
          <w:color w:val="000000" w:themeColor="text1"/>
          <w:sz w:val="28"/>
          <w:szCs w:val="28"/>
        </w:rPr>
        <w:t xml:space="preserve"> – chemical and physical stability</w:t>
      </w:r>
    </w:p>
    <w:p w:rsidR="000178AE" w:rsidRPr="000178AE" w:rsidRDefault="000178AE" w:rsidP="0008621A">
      <w:pPr>
        <w:pStyle w:val="NormalWeb"/>
        <w:numPr>
          <w:ilvl w:val="0"/>
          <w:numId w:val="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Sterility testing</w:t>
      </w:r>
      <w:r w:rsidRPr="000178AE">
        <w:rPr>
          <w:color w:val="000000" w:themeColor="text1"/>
          <w:sz w:val="28"/>
          <w:szCs w:val="28"/>
        </w:rPr>
        <w:t xml:space="preserve"> – for parenteral/ophthalmic preparations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Pharmaceutical Applications</w:t>
      </w:r>
    </w:p>
    <w:p w:rsidR="000178AE" w:rsidRPr="000178AE" w:rsidRDefault="000178AE" w:rsidP="0008621A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Ophthalmic solutions</w:t>
      </w:r>
      <w:r w:rsidRPr="000178AE">
        <w:rPr>
          <w:color w:val="000000" w:themeColor="text1"/>
          <w:sz w:val="28"/>
          <w:szCs w:val="28"/>
        </w:rPr>
        <w:t xml:space="preserve"> – eye drops</w:t>
      </w:r>
    </w:p>
    <w:p w:rsidR="000178AE" w:rsidRPr="000178AE" w:rsidRDefault="000178AE" w:rsidP="0008621A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Injectable solutions</w:t>
      </w:r>
      <w:r w:rsidRPr="000178AE">
        <w:rPr>
          <w:color w:val="000000" w:themeColor="text1"/>
          <w:sz w:val="28"/>
          <w:szCs w:val="28"/>
        </w:rPr>
        <w:t xml:space="preserve"> – intravenous infusions</w:t>
      </w:r>
    </w:p>
    <w:p w:rsidR="000178AE" w:rsidRPr="000178AE" w:rsidRDefault="000178AE" w:rsidP="0008621A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Nasal sprays</w:t>
      </w:r>
      <w:r w:rsidRPr="000178AE">
        <w:rPr>
          <w:color w:val="000000" w:themeColor="text1"/>
          <w:sz w:val="28"/>
          <w:szCs w:val="28"/>
        </w:rPr>
        <w:t xml:space="preserve"> – buffered and isotonic for patient comfort</w:t>
      </w:r>
    </w:p>
    <w:p w:rsidR="000178AE" w:rsidRPr="000178AE" w:rsidRDefault="000178AE" w:rsidP="0008621A">
      <w:pPr>
        <w:pStyle w:val="NormalWeb"/>
        <w:numPr>
          <w:ilvl w:val="0"/>
          <w:numId w:val="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rStyle w:val="Strong"/>
          <w:color w:val="000000" w:themeColor="text1"/>
          <w:sz w:val="28"/>
          <w:szCs w:val="28"/>
        </w:rPr>
        <w:t>Irrigation solutions</w:t>
      </w:r>
      <w:r w:rsidRPr="000178AE">
        <w:rPr>
          <w:color w:val="000000" w:themeColor="text1"/>
          <w:sz w:val="28"/>
          <w:szCs w:val="28"/>
        </w:rPr>
        <w:t xml:space="preserve"> – surgical use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Advantages</w:t>
      </w:r>
    </w:p>
    <w:p w:rsidR="000178AE" w:rsidRPr="000178AE" w:rsidRDefault="000178AE" w:rsidP="0008621A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Safe for </w:t>
      </w:r>
      <w:r w:rsidRPr="000178AE">
        <w:rPr>
          <w:rStyle w:val="Strong"/>
          <w:color w:val="000000" w:themeColor="text1"/>
          <w:sz w:val="28"/>
          <w:szCs w:val="28"/>
        </w:rPr>
        <w:t>parenteral and ophthalmic administration</w:t>
      </w:r>
    </w:p>
    <w:p w:rsidR="000178AE" w:rsidRPr="000178AE" w:rsidRDefault="000178AE" w:rsidP="0008621A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Maintains </w:t>
      </w:r>
      <w:r w:rsidRPr="000178AE">
        <w:rPr>
          <w:rStyle w:val="Strong"/>
          <w:color w:val="000000" w:themeColor="text1"/>
          <w:sz w:val="28"/>
          <w:szCs w:val="28"/>
        </w:rPr>
        <w:t>drug activity and stability</w:t>
      </w:r>
    </w:p>
    <w:p w:rsidR="000178AE" w:rsidRPr="000178AE" w:rsidRDefault="000178AE" w:rsidP="0008621A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Prevents </w:t>
      </w:r>
      <w:r w:rsidRPr="000178AE">
        <w:rPr>
          <w:rStyle w:val="Strong"/>
          <w:color w:val="000000" w:themeColor="text1"/>
          <w:sz w:val="28"/>
          <w:szCs w:val="28"/>
        </w:rPr>
        <w:t>cellular damage</w:t>
      </w:r>
    </w:p>
    <w:p w:rsidR="000178AE" w:rsidRPr="000178AE" w:rsidRDefault="000178AE" w:rsidP="0008621A">
      <w:pPr>
        <w:pStyle w:val="NormalWeb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Reduces </w:t>
      </w:r>
      <w:r w:rsidRPr="000178AE">
        <w:rPr>
          <w:rStyle w:val="Strong"/>
          <w:color w:val="000000" w:themeColor="text1"/>
          <w:sz w:val="28"/>
          <w:szCs w:val="28"/>
        </w:rPr>
        <w:t>irritation</w:t>
      </w:r>
    </w:p>
    <w:p w:rsidR="000178AE" w:rsidRPr="000178AE" w:rsidRDefault="000178AE" w:rsidP="000178A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8AE" w:rsidRPr="000178AE" w:rsidRDefault="000178AE" w:rsidP="000178AE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8AE">
        <w:rPr>
          <w:rFonts w:ascii="Times New Roman" w:hAnsi="Times New Roman" w:cs="Times New Roman"/>
          <w:color w:val="000000" w:themeColor="text1"/>
          <w:sz w:val="28"/>
          <w:szCs w:val="28"/>
        </w:rPr>
        <w:t>Limitations</w:t>
      </w:r>
    </w:p>
    <w:p w:rsidR="000178AE" w:rsidRPr="000178AE" w:rsidRDefault="000178AE" w:rsidP="0008621A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Complexity in preparation</w:t>
      </w:r>
    </w:p>
    <w:p w:rsidR="000178AE" w:rsidRPr="000178AE" w:rsidRDefault="000178AE" w:rsidP="0008621A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Buffer components may interact with drug</w:t>
      </w:r>
    </w:p>
    <w:p w:rsidR="000178AE" w:rsidRPr="000178AE" w:rsidRDefault="000178AE" w:rsidP="0008621A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 xml:space="preserve">Over-buffering may alter </w:t>
      </w:r>
      <w:proofErr w:type="spellStart"/>
      <w:r w:rsidRPr="000178AE">
        <w:rPr>
          <w:color w:val="000000" w:themeColor="text1"/>
          <w:sz w:val="28"/>
          <w:szCs w:val="28"/>
        </w:rPr>
        <w:t>isotonicity</w:t>
      </w:r>
      <w:proofErr w:type="spellEnd"/>
    </w:p>
    <w:p w:rsidR="000178AE" w:rsidRPr="000178AE" w:rsidRDefault="000178AE" w:rsidP="0008621A">
      <w:pPr>
        <w:pStyle w:val="NormalWeb"/>
        <w:numPr>
          <w:ilvl w:val="0"/>
          <w:numId w:val="1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0178AE">
        <w:rPr>
          <w:color w:val="000000" w:themeColor="text1"/>
          <w:sz w:val="28"/>
          <w:szCs w:val="28"/>
        </w:rPr>
        <w:t>Requires careful sterilization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9F4" w:rsidRDefault="002769F4" w:rsidP="00DB570F">
      <w:pPr>
        <w:spacing w:after="0" w:line="240" w:lineRule="auto"/>
      </w:pPr>
      <w:r>
        <w:separator/>
      </w:r>
    </w:p>
  </w:endnote>
  <w:endnote w:type="continuationSeparator" w:id="0">
    <w:p w:rsidR="002769F4" w:rsidRDefault="002769F4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9F4" w:rsidRDefault="002769F4" w:rsidP="00DB570F">
      <w:pPr>
        <w:spacing w:after="0" w:line="240" w:lineRule="auto"/>
      </w:pPr>
      <w:r>
        <w:separator/>
      </w:r>
    </w:p>
  </w:footnote>
  <w:footnote w:type="continuationSeparator" w:id="0">
    <w:p w:rsidR="002769F4" w:rsidRDefault="002769F4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769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194F7E">
          <w:rPr>
            <w:noProof/>
          </w:rPr>
          <w:t>5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2769F4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769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3589D"/>
    <w:multiLevelType w:val="multilevel"/>
    <w:tmpl w:val="A70E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16929"/>
    <w:multiLevelType w:val="multilevel"/>
    <w:tmpl w:val="3FA2A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6115BC"/>
    <w:multiLevelType w:val="multilevel"/>
    <w:tmpl w:val="F8B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04458"/>
    <w:multiLevelType w:val="multilevel"/>
    <w:tmpl w:val="5AE2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D1796"/>
    <w:multiLevelType w:val="multilevel"/>
    <w:tmpl w:val="F9B2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21F78"/>
    <w:multiLevelType w:val="multilevel"/>
    <w:tmpl w:val="D720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AE251A"/>
    <w:multiLevelType w:val="multilevel"/>
    <w:tmpl w:val="3EC0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D7D7E"/>
    <w:multiLevelType w:val="multilevel"/>
    <w:tmpl w:val="41D4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862AA"/>
    <w:multiLevelType w:val="multilevel"/>
    <w:tmpl w:val="D69E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C7194E"/>
    <w:multiLevelType w:val="multilevel"/>
    <w:tmpl w:val="0418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064C6"/>
    <w:multiLevelType w:val="multilevel"/>
    <w:tmpl w:val="911C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178AE"/>
    <w:rsid w:val="0008621A"/>
    <w:rsid w:val="00113017"/>
    <w:rsid w:val="001827D1"/>
    <w:rsid w:val="00194F7E"/>
    <w:rsid w:val="00242B5E"/>
    <w:rsid w:val="002769F4"/>
    <w:rsid w:val="002C0628"/>
    <w:rsid w:val="00377796"/>
    <w:rsid w:val="00392A4E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2115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CD2A7E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CD2A7E"/>
  </w:style>
  <w:style w:type="character" w:customStyle="1" w:styleId="mord">
    <w:name w:val="mord"/>
    <w:basedOn w:val="DefaultParagraphFont"/>
    <w:rsid w:val="00CD2A7E"/>
  </w:style>
  <w:style w:type="character" w:customStyle="1" w:styleId="mrel">
    <w:name w:val="mrel"/>
    <w:basedOn w:val="DefaultParagraphFont"/>
    <w:rsid w:val="00CD2A7E"/>
  </w:style>
  <w:style w:type="character" w:customStyle="1" w:styleId="vlist-s">
    <w:name w:val="vlist-s"/>
    <w:basedOn w:val="DefaultParagraphFont"/>
    <w:rsid w:val="00CD2A7E"/>
  </w:style>
  <w:style w:type="character" w:customStyle="1" w:styleId="mbin">
    <w:name w:val="mbin"/>
    <w:basedOn w:val="DefaultParagraphFont"/>
    <w:rsid w:val="00CD2A7E"/>
  </w:style>
  <w:style w:type="character" w:customStyle="1" w:styleId="mop">
    <w:name w:val="mop"/>
    <w:basedOn w:val="DefaultParagraphFont"/>
    <w:rsid w:val="00CD2A7E"/>
  </w:style>
  <w:style w:type="character" w:customStyle="1" w:styleId="mopen">
    <w:name w:val="mopen"/>
    <w:basedOn w:val="DefaultParagraphFont"/>
    <w:rsid w:val="00CD2A7E"/>
  </w:style>
  <w:style w:type="character" w:customStyle="1" w:styleId="mclose">
    <w:name w:val="mclose"/>
    <w:basedOn w:val="DefaultParagraphFont"/>
    <w:rsid w:val="00CD2A7E"/>
  </w:style>
  <w:style w:type="character" w:customStyle="1" w:styleId="delimsizing">
    <w:name w:val="delimsizing"/>
    <w:basedOn w:val="DefaultParagraphFont"/>
    <w:rsid w:val="00CD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0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yamini</cp:lastModifiedBy>
  <cp:revision>3</cp:revision>
  <cp:lastPrinted>2024-05-22T07:36:00Z</cp:lastPrinted>
  <dcterms:created xsi:type="dcterms:W3CDTF">2025-12-24T05:07:00Z</dcterms:created>
  <dcterms:modified xsi:type="dcterms:W3CDTF">2025-12-24T05:12:00Z</dcterms:modified>
</cp:coreProperties>
</file>