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CD2A7E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3F3066">
        <w:rPr>
          <w:rFonts w:ascii="Times New Roman" w:hAnsi="Times New Roman" w:cs="Times New Roman"/>
          <w:sz w:val="24"/>
          <w:szCs w:val="24"/>
        </w:rPr>
        <w:t>5(pH, BUFFERS AND ISOTONIC SOLUTIONS)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CD2A7E">
        <w:rPr>
          <w:rFonts w:ascii="Times New Roman" w:hAnsi="Times New Roman" w:cs="Times New Roman"/>
          <w:sz w:val="24"/>
          <w:szCs w:val="24"/>
        </w:rPr>
        <w:t xml:space="preserve">42 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CD2A7E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A7E" w:rsidRPr="00CD2A7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BUFFER EQUATION</w:t>
      </w: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Buffers are solutions that resist changes in pH upon the addition of small amounts of acid or base. The </w:t>
      </w:r>
      <w:r w:rsidRPr="00CD2A7E">
        <w:rPr>
          <w:rStyle w:val="Strong"/>
          <w:color w:val="000000" w:themeColor="text1"/>
          <w:sz w:val="28"/>
          <w:szCs w:val="28"/>
        </w:rPr>
        <w:t>buffer equation</w:t>
      </w:r>
      <w:r w:rsidRPr="00CD2A7E">
        <w:rPr>
          <w:color w:val="000000" w:themeColor="text1"/>
          <w:sz w:val="28"/>
          <w:szCs w:val="28"/>
        </w:rPr>
        <w:t xml:space="preserve">, also known as the </w:t>
      </w:r>
      <w:r w:rsidRPr="00CD2A7E">
        <w:rPr>
          <w:rStyle w:val="Strong"/>
          <w:color w:val="000000" w:themeColor="text1"/>
          <w:sz w:val="28"/>
          <w:szCs w:val="28"/>
        </w:rPr>
        <w:t>Henderson–</w:t>
      </w:r>
      <w:proofErr w:type="spellStart"/>
      <w:r w:rsidRPr="00CD2A7E">
        <w:rPr>
          <w:rStyle w:val="Strong"/>
          <w:color w:val="000000" w:themeColor="text1"/>
          <w:sz w:val="28"/>
          <w:szCs w:val="28"/>
        </w:rPr>
        <w:t>Hasselbalch</w:t>
      </w:r>
      <w:proofErr w:type="spellEnd"/>
      <w:r w:rsidRPr="00CD2A7E">
        <w:rPr>
          <w:rStyle w:val="Strong"/>
          <w:color w:val="000000" w:themeColor="text1"/>
          <w:sz w:val="28"/>
          <w:szCs w:val="28"/>
        </w:rPr>
        <w:t xml:space="preserve"> equation</w:t>
      </w:r>
      <w:r w:rsidRPr="00CD2A7E">
        <w:rPr>
          <w:color w:val="000000" w:themeColor="text1"/>
          <w:sz w:val="28"/>
          <w:szCs w:val="28"/>
        </w:rPr>
        <w:t xml:space="preserve">, is used to calculate the </w:t>
      </w:r>
      <w:r w:rsidRPr="00CD2A7E">
        <w:rPr>
          <w:rStyle w:val="Strong"/>
          <w:color w:val="000000" w:themeColor="text1"/>
          <w:sz w:val="28"/>
          <w:szCs w:val="28"/>
        </w:rPr>
        <w:t>pH of buffer solutions</w:t>
      </w:r>
      <w:r w:rsidRPr="00CD2A7E">
        <w:rPr>
          <w:color w:val="000000" w:themeColor="text1"/>
          <w:sz w:val="28"/>
          <w:szCs w:val="28"/>
        </w:rPr>
        <w:t xml:space="preserve"> and to understand the relationship between </w:t>
      </w:r>
      <w:r w:rsidRPr="00CD2A7E">
        <w:rPr>
          <w:rStyle w:val="Strong"/>
          <w:color w:val="000000" w:themeColor="text1"/>
          <w:sz w:val="28"/>
          <w:szCs w:val="28"/>
        </w:rPr>
        <w:t xml:space="preserve">pH, </w:t>
      </w:r>
      <w:proofErr w:type="spellStart"/>
      <w:r w:rsidRPr="00CD2A7E">
        <w:rPr>
          <w:rStyle w:val="Strong"/>
          <w:color w:val="000000" w:themeColor="text1"/>
          <w:sz w:val="28"/>
          <w:szCs w:val="28"/>
        </w:rPr>
        <w:t>pKa</w:t>
      </w:r>
      <w:proofErr w:type="spellEnd"/>
      <w:r w:rsidRPr="00CD2A7E">
        <w:rPr>
          <w:rStyle w:val="Strong"/>
          <w:color w:val="000000" w:themeColor="text1"/>
          <w:sz w:val="28"/>
          <w:szCs w:val="28"/>
        </w:rPr>
        <w:t>, and the concentration ratio of buffer components</w:t>
      </w:r>
      <w:r w:rsidRPr="00CD2A7E">
        <w:rPr>
          <w:color w:val="000000" w:themeColor="text1"/>
          <w:sz w:val="28"/>
          <w:szCs w:val="28"/>
        </w:rPr>
        <w:t>. It is one of the most important equations in pharmaceutical chemistry.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Buffer Systems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Buffers are mainly of two types:</w:t>
      </w:r>
    </w:p>
    <w:p w:rsidR="00CD2A7E" w:rsidRPr="00CD2A7E" w:rsidRDefault="00CD2A7E" w:rsidP="00CD2A7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rStyle w:val="Strong"/>
          <w:color w:val="000000" w:themeColor="text1"/>
          <w:sz w:val="28"/>
          <w:szCs w:val="28"/>
        </w:rPr>
        <w:t>Acidic buffer</w:t>
      </w:r>
      <w:r w:rsidRPr="00CD2A7E">
        <w:rPr>
          <w:color w:val="000000" w:themeColor="text1"/>
          <w:sz w:val="28"/>
          <w:szCs w:val="28"/>
        </w:rPr>
        <w:t xml:space="preserve"> – weak acid + its salt with a strong base</w:t>
      </w:r>
    </w:p>
    <w:p w:rsidR="00CD2A7E" w:rsidRPr="00CD2A7E" w:rsidRDefault="00CD2A7E" w:rsidP="00CD2A7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rStyle w:val="Strong"/>
          <w:color w:val="000000" w:themeColor="text1"/>
          <w:sz w:val="28"/>
          <w:szCs w:val="28"/>
        </w:rPr>
        <w:t>Basic buffer</w:t>
      </w:r>
      <w:r w:rsidRPr="00CD2A7E">
        <w:rPr>
          <w:color w:val="000000" w:themeColor="text1"/>
          <w:sz w:val="28"/>
          <w:szCs w:val="28"/>
        </w:rPr>
        <w:t xml:space="preserve"> – weak base + its salt with a strong acid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Henderson–</w:t>
      </w:r>
      <w:proofErr w:type="spellStart"/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Hasselbalch</w:t>
      </w:r>
      <w:proofErr w:type="spellEnd"/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Equation</w:t>
      </w:r>
    </w:p>
    <w:p w:rsidR="00CD2A7E" w:rsidRPr="00CD2A7E" w:rsidRDefault="00CD2A7E" w:rsidP="00CD2A7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For Acidic Buffer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lastRenderedPageBreak/>
        <w:t xml:space="preserve">An acidic buffer consists of a </w:t>
      </w:r>
      <w:r w:rsidRPr="00CD2A7E">
        <w:rPr>
          <w:rStyle w:val="Strong"/>
          <w:color w:val="000000" w:themeColor="text1"/>
          <w:sz w:val="28"/>
          <w:szCs w:val="28"/>
        </w:rPr>
        <w:t>weak acid (HA)</w:t>
      </w:r>
      <w:r w:rsidRPr="00CD2A7E">
        <w:rPr>
          <w:color w:val="000000" w:themeColor="text1"/>
          <w:sz w:val="28"/>
          <w:szCs w:val="28"/>
        </w:rPr>
        <w:t xml:space="preserve"> and its </w:t>
      </w:r>
      <w:r w:rsidRPr="00CD2A7E">
        <w:rPr>
          <w:rStyle w:val="Strong"/>
          <w:color w:val="000000" w:themeColor="text1"/>
          <w:sz w:val="28"/>
          <w:szCs w:val="28"/>
        </w:rPr>
        <w:t>salt (A⁻)</w:t>
      </w:r>
      <w:r w:rsidRPr="00CD2A7E">
        <w:rPr>
          <w:color w:val="000000" w:themeColor="text1"/>
          <w:sz w:val="28"/>
          <w:szCs w:val="28"/>
        </w:rPr>
        <w:t>.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</w:t>
      </w:r>
      <w:proofErr w:type="spellStart"/>
      <w:proofErr w:type="gram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pKa+log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⁡[Salt][Acid]\text{pH} = \text{p}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K_a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 xml:space="preserve"> + \log \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frac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{[\text{Salt}]}{[\text{Acid}]}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CD2A7E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CD2A7E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log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Acid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Salt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CD2A7E">
        <w:rPr>
          <w:color w:val="000000" w:themeColor="text1"/>
          <w:sz w:val="28"/>
          <w:szCs w:val="28"/>
        </w:rPr>
        <w:t>or</w:t>
      </w:r>
      <w:proofErr w:type="gramEnd"/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</w:t>
      </w:r>
      <w:proofErr w:type="spellStart"/>
      <w:proofErr w:type="gram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pKa+log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⁡[A−][HA]\text{pH} = \text{p}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K_a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 xml:space="preserve"> + \log \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frac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{[A^-]}{[HA]}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CD2A7E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CD2A7E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log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HA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For Basic Buffer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A basic buffer consists of a </w:t>
      </w:r>
      <w:r w:rsidRPr="00CD2A7E">
        <w:rPr>
          <w:rStyle w:val="Strong"/>
          <w:color w:val="000000" w:themeColor="text1"/>
          <w:sz w:val="28"/>
          <w:szCs w:val="28"/>
        </w:rPr>
        <w:t>weak base (B)</w:t>
      </w:r>
      <w:r w:rsidRPr="00CD2A7E">
        <w:rPr>
          <w:color w:val="000000" w:themeColor="text1"/>
          <w:sz w:val="28"/>
          <w:szCs w:val="28"/>
        </w:rPr>
        <w:t xml:space="preserve"> and its </w:t>
      </w:r>
      <w:r w:rsidRPr="00CD2A7E">
        <w:rPr>
          <w:rStyle w:val="Strong"/>
          <w:color w:val="000000" w:themeColor="text1"/>
          <w:sz w:val="28"/>
          <w:szCs w:val="28"/>
        </w:rPr>
        <w:t>salt (BH⁺)</w:t>
      </w:r>
      <w:r w:rsidRPr="00CD2A7E">
        <w:rPr>
          <w:color w:val="000000" w:themeColor="text1"/>
          <w:sz w:val="28"/>
          <w:szCs w:val="28"/>
        </w:rPr>
        <w:t>.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pH=14−(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pKb+log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⁡[Salt][Base])\text{pH} = 14 - \left(\text{p}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K_b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 xml:space="preserve"> + \log \frac{[\text{Salt}]}{[\text{Base}]}\right)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CD2A7E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CD2A7E">
        <w:rPr>
          <w:rStyle w:val="delimsizing"/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pKb</w:t>
      </w:r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CD2A7E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log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Base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Salt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Style w:val="delimsizing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CD2A7E">
        <w:rPr>
          <w:color w:val="000000" w:themeColor="text1"/>
          <w:sz w:val="28"/>
          <w:szCs w:val="28"/>
        </w:rPr>
        <w:t>or</w:t>
      </w:r>
      <w:proofErr w:type="gramEnd"/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pOH=</w:t>
      </w:r>
      <w:proofErr w:type="spellStart"/>
      <w:proofErr w:type="gram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pKb+log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⁡[Salt][Base]\text{pOH} = \text{p}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K_b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 xml:space="preserve"> + \log \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frac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{[\text{Salt}]}{[\text{Base}]}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pOH</w:t>
      </w:r>
      <w:r w:rsidRPr="00CD2A7E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pKb</w:t>
      </w:r>
      <w:proofErr w:type="spellEnd"/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CD2A7E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log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Base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Salt</w:t>
      </w:r>
      <w:r w:rsidRPr="00CD2A7E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Terms in the Buffer Equation</w:t>
      </w:r>
    </w:p>
    <w:p w:rsidR="00CD2A7E" w:rsidRPr="00CD2A7E" w:rsidRDefault="00CD2A7E" w:rsidP="00CD2A7E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rStyle w:val="Strong"/>
          <w:color w:val="000000" w:themeColor="text1"/>
          <w:sz w:val="28"/>
          <w:szCs w:val="28"/>
        </w:rPr>
        <w:t>pH</w:t>
      </w:r>
      <w:r w:rsidRPr="00CD2A7E">
        <w:rPr>
          <w:color w:val="000000" w:themeColor="text1"/>
          <w:sz w:val="28"/>
          <w:szCs w:val="28"/>
        </w:rPr>
        <w:t xml:space="preserve"> – measure of acidity or alkalinity</w:t>
      </w:r>
    </w:p>
    <w:p w:rsidR="00CD2A7E" w:rsidRPr="00CD2A7E" w:rsidRDefault="00CD2A7E" w:rsidP="00CD2A7E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D2A7E">
        <w:rPr>
          <w:rStyle w:val="Strong"/>
          <w:color w:val="000000" w:themeColor="text1"/>
          <w:sz w:val="28"/>
          <w:szCs w:val="28"/>
        </w:rPr>
        <w:t>pKa</w:t>
      </w:r>
      <w:proofErr w:type="spellEnd"/>
      <w:r w:rsidRPr="00CD2A7E">
        <w:rPr>
          <w:color w:val="000000" w:themeColor="text1"/>
          <w:sz w:val="28"/>
          <w:szCs w:val="28"/>
        </w:rPr>
        <w:t xml:space="preserve"> – negative logarithm of dissociation constant of weak acid</w:t>
      </w:r>
    </w:p>
    <w:p w:rsidR="00CD2A7E" w:rsidRPr="00CD2A7E" w:rsidRDefault="00CD2A7E" w:rsidP="00CD2A7E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D2A7E">
        <w:rPr>
          <w:rStyle w:val="Strong"/>
          <w:color w:val="000000" w:themeColor="text1"/>
          <w:sz w:val="28"/>
          <w:szCs w:val="28"/>
        </w:rPr>
        <w:t>pKb</w:t>
      </w:r>
      <w:proofErr w:type="spellEnd"/>
      <w:r w:rsidRPr="00CD2A7E">
        <w:rPr>
          <w:color w:val="000000" w:themeColor="text1"/>
          <w:sz w:val="28"/>
          <w:szCs w:val="28"/>
        </w:rPr>
        <w:t xml:space="preserve"> – negative logarithm of dissociation constant of weak base</w:t>
      </w:r>
    </w:p>
    <w:p w:rsidR="00CD2A7E" w:rsidRPr="00CD2A7E" w:rsidRDefault="00CD2A7E" w:rsidP="00CD2A7E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rStyle w:val="Strong"/>
          <w:color w:val="000000" w:themeColor="text1"/>
          <w:sz w:val="28"/>
          <w:szCs w:val="28"/>
        </w:rPr>
        <w:lastRenderedPageBreak/>
        <w:t>[Salt]</w:t>
      </w:r>
      <w:r w:rsidRPr="00CD2A7E">
        <w:rPr>
          <w:color w:val="000000" w:themeColor="text1"/>
          <w:sz w:val="28"/>
          <w:szCs w:val="28"/>
        </w:rPr>
        <w:t xml:space="preserve"> – concentration of conjugate base (acidic buffer) or conjugate acid (basic buffer)</w:t>
      </w:r>
    </w:p>
    <w:p w:rsidR="00CD2A7E" w:rsidRPr="00CD2A7E" w:rsidRDefault="00CD2A7E" w:rsidP="00CD2A7E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rStyle w:val="Strong"/>
          <w:color w:val="000000" w:themeColor="text1"/>
          <w:sz w:val="28"/>
          <w:szCs w:val="28"/>
        </w:rPr>
        <w:t>[Acid/Base]</w:t>
      </w:r>
      <w:r w:rsidRPr="00CD2A7E">
        <w:rPr>
          <w:color w:val="000000" w:themeColor="text1"/>
          <w:sz w:val="28"/>
          <w:szCs w:val="28"/>
        </w:rPr>
        <w:t xml:space="preserve"> – concentration of weak acid or weak base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Significance of the Buffer Equation</w:t>
      </w:r>
    </w:p>
    <w:p w:rsidR="00CD2A7E" w:rsidRPr="00CD2A7E" w:rsidRDefault="00CD2A7E" w:rsidP="00CD2A7E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Helps in </w:t>
      </w:r>
      <w:r w:rsidRPr="00CD2A7E">
        <w:rPr>
          <w:rStyle w:val="Strong"/>
          <w:color w:val="000000" w:themeColor="text1"/>
          <w:sz w:val="28"/>
          <w:szCs w:val="28"/>
        </w:rPr>
        <w:t>calculating pH</w:t>
      </w:r>
      <w:r w:rsidRPr="00CD2A7E">
        <w:rPr>
          <w:color w:val="000000" w:themeColor="text1"/>
          <w:sz w:val="28"/>
          <w:szCs w:val="28"/>
        </w:rPr>
        <w:t xml:space="preserve"> of buffer solutions</w:t>
      </w:r>
    </w:p>
    <w:p w:rsidR="00CD2A7E" w:rsidRPr="00CD2A7E" w:rsidRDefault="00CD2A7E" w:rsidP="00CD2A7E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Assists in </w:t>
      </w:r>
      <w:r w:rsidRPr="00CD2A7E">
        <w:rPr>
          <w:rStyle w:val="Strong"/>
          <w:color w:val="000000" w:themeColor="text1"/>
          <w:sz w:val="28"/>
          <w:szCs w:val="28"/>
        </w:rPr>
        <w:t>designing buffers</w:t>
      </w:r>
      <w:r w:rsidRPr="00CD2A7E">
        <w:rPr>
          <w:color w:val="000000" w:themeColor="text1"/>
          <w:sz w:val="28"/>
          <w:szCs w:val="28"/>
        </w:rPr>
        <w:t xml:space="preserve"> of required pH</w:t>
      </w:r>
    </w:p>
    <w:p w:rsidR="00CD2A7E" w:rsidRPr="00CD2A7E" w:rsidRDefault="00CD2A7E" w:rsidP="00CD2A7E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Explains </w:t>
      </w:r>
      <w:r w:rsidRPr="00CD2A7E">
        <w:rPr>
          <w:rStyle w:val="Strong"/>
          <w:color w:val="000000" w:themeColor="text1"/>
          <w:sz w:val="28"/>
          <w:szCs w:val="28"/>
        </w:rPr>
        <w:t>buffering action</w:t>
      </w:r>
    </w:p>
    <w:p w:rsidR="00CD2A7E" w:rsidRPr="00CD2A7E" w:rsidRDefault="00CD2A7E" w:rsidP="00CD2A7E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Useful in </w:t>
      </w:r>
      <w:r w:rsidRPr="00CD2A7E">
        <w:rPr>
          <w:rStyle w:val="Strong"/>
          <w:color w:val="000000" w:themeColor="text1"/>
          <w:sz w:val="28"/>
          <w:szCs w:val="28"/>
        </w:rPr>
        <w:t>pharmaceutical formulation development</w:t>
      </w:r>
    </w:p>
    <w:p w:rsidR="00CD2A7E" w:rsidRPr="00CD2A7E" w:rsidRDefault="00CD2A7E" w:rsidP="00CD2A7E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Predicts effect of changing acid–salt ratio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Conditions for Effective Buffering</w:t>
      </w:r>
    </w:p>
    <w:p w:rsidR="00CD2A7E" w:rsidRPr="00CD2A7E" w:rsidRDefault="00CD2A7E" w:rsidP="00CD2A7E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Best buffering occurs when: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</w:t>
      </w:r>
      <w:proofErr w:type="spellStart"/>
      <w:proofErr w:type="gram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\text{pH} = \text{p}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K_a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proofErr w:type="spellEnd"/>
      <w:r w:rsidRPr="00CD2A7E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A7E" w:rsidRPr="00CD2A7E" w:rsidRDefault="00CD2A7E" w:rsidP="00CD2A7E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Effective buffering range: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</w:t>
      </w:r>
      <w:proofErr w:type="gram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pKa±1\text{pH} = \text{p}</w:t>
      </w:r>
      <w:proofErr w:type="spellStart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K_a</w:t>
      </w:r>
      <w:proofErr w:type="spellEnd"/>
      <w:r w:rsidRPr="00CD2A7E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 xml:space="preserve"> \pm 1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CD2A7E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CD2A7E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CD2A7E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±</w:t>
      </w:r>
      <w:r w:rsidRPr="00CD2A7E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Pharmaceutical Importance of Buffer Equation</w:t>
      </w:r>
    </w:p>
    <w:p w:rsidR="00CD2A7E" w:rsidRPr="00CD2A7E" w:rsidRDefault="00CD2A7E" w:rsidP="00CD2A7E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Preparation of </w:t>
      </w:r>
      <w:r w:rsidRPr="00CD2A7E">
        <w:rPr>
          <w:rStyle w:val="Strong"/>
          <w:color w:val="000000" w:themeColor="text1"/>
          <w:sz w:val="28"/>
          <w:szCs w:val="28"/>
        </w:rPr>
        <w:t>ophthalmic solutions</w:t>
      </w:r>
    </w:p>
    <w:p w:rsidR="00CD2A7E" w:rsidRPr="00CD2A7E" w:rsidRDefault="00CD2A7E" w:rsidP="00CD2A7E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Formulation of </w:t>
      </w:r>
      <w:proofErr w:type="spellStart"/>
      <w:r w:rsidRPr="00CD2A7E">
        <w:rPr>
          <w:rStyle w:val="Strong"/>
          <w:color w:val="000000" w:themeColor="text1"/>
          <w:sz w:val="28"/>
          <w:szCs w:val="28"/>
        </w:rPr>
        <w:t>injectables</w:t>
      </w:r>
      <w:proofErr w:type="spellEnd"/>
    </w:p>
    <w:p w:rsidR="00CD2A7E" w:rsidRPr="00CD2A7E" w:rsidRDefault="00CD2A7E" w:rsidP="00CD2A7E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lastRenderedPageBreak/>
        <w:t xml:space="preserve">Designing </w:t>
      </w:r>
      <w:r w:rsidRPr="00CD2A7E">
        <w:rPr>
          <w:rStyle w:val="Strong"/>
          <w:color w:val="000000" w:themeColor="text1"/>
          <w:sz w:val="28"/>
          <w:szCs w:val="28"/>
        </w:rPr>
        <w:t>oral liquid preparations</w:t>
      </w:r>
    </w:p>
    <w:p w:rsidR="00CD2A7E" w:rsidRPr="00CD2A7E" w:rsidRDefault="00CD2A7E" w:rsidP="00CD2A7E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Stability studies of drugs</w:t>
      </w:r>
    </w:p>
    <w:p w:rsidR="00CD2A7E" w:rsidRPr="00CD2A7E" w:rsidRDefault="00CD2A7E" w:rsidP="00CD2A7E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Dissolution and bioavailability studies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Limitations of Buffer Equation</w:t>
      </w:r>
    </w:p>
    <w:p w:rsidR="00CD2A7E" w:rsidRPr="00CD2A7E" w:rsidRDefault="00CD2A7E" w:rsidP="00CD2A7E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Applicable only to </w:t>
      </w:r>
      <w:r w:rsidRPr="00CD2A7E">
        <w:rPr>
          <w:rStyle w:val="Strong"/>
          <w:color w:val="000000" w:themeColor="text1"/>
          <w:sz w:val="28"/>
          <w:szCs w:val="28"/>
        </w:rPr>
        <w:t>weak acid/base buffers</w:t>
      </w:r>
    </w:p>
    <w:p w:rsidR="00CD2A7E" w:rsidRPr="00CD2A7E" w:rsidRDefault="00CD2A7E" w:rsidP="00CD2A7E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 xml:space="preserve">Not suitable for </w:t>
      </w:r>
      <w:r w:rsidRPr="00CD2A7E">
        <w:rPr>
          <w:rStyle w:val="Strong"/>
          <w:color w:val="000000" w:themeColor="text1"/>
          <w:sz w:val="28"/>
          <w:szCs w:val="28"/>
        </w:rPr>
        <w:t>strong acid–strong base solutions</w:t>
      </w:r>
    </w:p>
    <w:p w:rsidR="00CD2A7E" w:rsidRPr="00CD2A7E" w:rsidRDefault="00CD2A7E" w:rsidP="00CD2A7E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Assumes ideal behavior (activity ≈ concentration)</w:t>
      </w:r>
    </w:p>
    <w:p w:rsidR="00CD2A7E" w:rsidRPr="00CD2A7E" w:rsidRDefault="00CD2A7E" w:rsidP="00CD2A7E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Less accurate for highly concentrated solutions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A7E" w:rsidRPr="00CD2A7E" w:rsidRDefault="00CD2A7E" w:rsidP="00CD2A7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A7E">
        <w:rPr>
          <w:rFonts w:ascii="Times New Roman" w:hAnsi="Times New Roman" w:cs="Times New Roman"/>
          <w:color w:val="000000" w:themeColor="text1"/>
          <w:sz w:val="28"/>
          <w:szCs w:val="28"/>
        </w:rPr>
        <w:t>Example (Conceptual)</w:t>
      </w:r>
    </w:p>
    <w:p w:rsidR="00CD2A7E" w:rsidRPr="00CD2A7E" w:rsidRDefault="00CD2A7E" w:rsidP="00CD2A7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If the concentration of salt is increased while acid remains constant:</w:t>
      </w:r>
    </w:p>
    <w:p w:rsidR="00CD2A7E" w:rsidRPr="00CD2A7E" w:rsidRDefault="00CD2A7E" w:rsidP="00CD2A7E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pH increases</w:t>
      </w:r>
      <w:r w:rsidRPr="00CD2A7E">
        <w:rPr>
          <w:color w:val="000000" w:themeColor="text1"/>
          <w:sz w:val="28"/>
          <w:szCs w:val="28"/>
        </w:rPr>
        <w:br/>
        <w:t>If the concentration of acid is increased:</w:t>
      </w:r>
    </w:p>
    <w:p w:rsidR="00CD2A7E" w:rsidRPr="00CD2A7E" w:rsidRDefault="00CD2A7E" w:rsidP="00CD2A7E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CD2A7E">
        <w:rPr>
          <w:color w:val="000000" w:themeColor="text1"/>
          <w:sz w:val="28"/>
          <w:szCs w:val="28"/>
        </w:rPr>
        <w:t>pH decreases</w:t>
      </w:r>
    </w:p>
    <w:p w:rsidR="00CD2A7E" w:rsidRPr="00CD2A7E" w:rsidRDefault="00CD2A7E" w:rsidP="00CD2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B06C2F" w:rsidRPr="00CD2A7E" w:rsidRDefault="00B06C2F" w:rsidP="00CD2A7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151" w:rsidRDefault="00B23151" w:rsidP="00DB570F">
      <w:pPr>
        <w:spacing w:after="0" w:line="240" w:lineRule="auto"/>
      </w:pPr>
      <w:r>
        <w:separator/>
      </w:r>
    </w:p>
  </w:endnote>
  <w:endnote w:type="continuationSeparator" w:id="0">
    <w:p w:rsidR="00B23151" w:rsidRDefault="00B2315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151" w:rsidRDefault="00B23151" w:rsidP="00DB570F">
      <w:pPr>
        <w:spacing w:after="0" w:line="240" w:lineRule="auto"/>
      </w:pPr>
      <w:r>
        <w:separator/>
      </w:r>
    </w:p>
  </w:footnote>
  <w:footnote w:type="continuationSeparator" w:id="0">
    <w:p w:rsidR="00B23151" w:rsidRDefault="00B2315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B231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3F3066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B23151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B231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41209"/>
    <w:multiLevelType w:val="multilevel"/>
    <w:tmpl w:val="28A8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306F7"/>
    <w:multiLevelType w:val="multilevel"/>
    <w:tmpl w:val="E03A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72019"/>
    <w:multiLevelType w:val="multilevel"/>
    <w:tmpl w:val="119E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95935"/>
    <w:multiLevelType w:val="multilevel"/>
    <w:tmpl w:val="32FA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E1D13"/>
    <w:multiLevelType w:val="multilevel"/>
    <w:tmpl w:val="4A32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60F44"/>
    <w:multiLevelType w:val="multilevel"/>
    <w:tmpl w:val="C85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2F5C7F"/>
    <w:multiLevelType w:val="multilevel"/>
    <w:tmpl w:val="8C00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2571DF"/>
    <w:multiLevelType w:val="multilevel"/>
    <w:tmpl w:val="A210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0"/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0"/>
  </w:num>
  <w:num w:numId="9">
    <w:abstractNumId w:val="17"/>
  </w:num>
  <w:num w:numId="10">
    <w:abstractNumId w:val="2"/>
  </w:num>
  <w:num w:numId="11">
    <w:abstractNumId w:val="13"/>
  </w:num>
  <w:num w:numId="12">
    <w:abstractNumId w:val="9"/>
  </w:num>
  <w:num w:numId="13">
    <w:abstractNumId w:val="12"/>
  </w:num>
  <w:num w:numId="14">
    <w:abstractNumId w:val="6"/>
  </w:num>
  <w:num w:numId="15">
    <w:abstractNumId w:val="10"/>
  </w:num>
  <w:num w:numId="16">
    <w:abstractNumId w:val="4"/>
  </w:num>
  <w:num w:numId="17">
    <w:abstractNumId w:val="8"/>
  </w:num>
  <w:num w:numId="18">
    <w:abstractNumId w:val="5"/>
  </w:num>
  <w:num w:numId="19">
    <w:abstractNumId w:val="3"/>
  </w:num>
  <w:num w:numId="20">
    <w:abstractNumId w:val="16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A0503"/>
    <w:rsid w:val="002C0628"/>
    <w:rsid w:val="00377796"/>
    <w:rsid w:val="003F306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23151"/>
    <w:rsid w:val="00B9514D"/>
    <w:rsid w:val="00BA3D19"/>
    <w:rsid w:val="00BC37A9"/>
    <w:rsid w:val="00C30118"/>
    <w:rsid w:val="00C603C6"/>
    <w:rsid w:val="00C77CD8"/>
    <w:rsid w:val="00CD2A7E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CD2A7E"/>
  </w:style>
  <w:style w:type="character" w:customStyle="1" w:styleId="mord">
    <w:name w:val="mord"/>
    <w:basedOn w:val="DefaultParagraphFont"/>
    <w:rsid w:val="00CD2A7E"/>
  </w:style>
  <w:style w:type="character" w:customStyle="1" w:styleId="mrel">
    <w:name w:val="mrel"/>
    <w:basedOn w:val="DefaultParagraphFont"/>
    <w:rsid w:val="00CD2A7E"/>
  </w:style>
  <w:style w:type="character" w:customStyle="1" w:styleId="vlist-s">
    <w:name w:val="vlist-s"/>
    <w:basedOn w:val="DefaultParagraphFont"/>
    <w:rsid w:val="00CD2A7E"/>
  </w:style>
  <w:style w:type="character" w:customStyle="1" w:styleId="mbin">
    <w:name w:val="mbin"/>
    <w:basedOn w:val="DefaultParagraphFont"/>
    <w:rsid w:val="00CD2A7E"/>
  </w:style>
  <w:style w:type="character" w:customStyle="1" w:styleId="mop">
    <w:name w:val="mop"/>
    <w:basedOn w:val="DefaultParagraphFont"/>
    <w:rsid w:val="00CD2A7E"/>
  </w:style>
  <w:style w:type="character" w:customStyle="1" w:styleId="mopen">
    <w:name w:val="mopen"/>
    <w:basedOn w:val="DefaultParagraphFont"/>
    <w:rsid w:val="00CD2A7E"/>
  </w:style>
  <w:style w:type="character" w:customStyle="1" w:styleId="mclose">
    <w:name w:val="mclose"/>
    <w:basedOn w:val="DefaultParagraphFont"/>
    <w:rsid w:val="00CD2A7E"/>
  </w:style>
  <w:style w:type="character" w:customStyle="1" w:styleId="delimsizing">
    <w:name w:val="delimsizing"/>
    <w:basedOn w:val="DefaultParagraphFont"/>
    <w:rsid w:val="00CD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yamini</cp:lastModifiedBy>
  <cp:revision>3</cp:revision>
  <cp:lastPrinted>2024-05-22T07:36:00Z</cp:lastPrinted>
  <dcterms:created xsi:type="dcterms:W3CDTF">2025-12-24T05:02:00Z</dcterms:created>
  <dcterms:modified xsi:type="dcterms:W3CDTF">2025-12-24T05:11:00Z</dcterms:modified>
</cp:coreProperties>
</file>