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7F2169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2904C4">
        <w:rPr>
          <w:rFonts w:ascii="Times New Roman" w:hAnsi="Times New Roman" w:cs="Times New Roman"/>
          <w:sz w:val="24"/>
          <w:szCs w:val="24"/>
        </w:rPr>
        <w:t>5(pH, BUFFERS AND ISOTONIC SOLUTIONS)</w:t>
      </w:r>
      <w:bookmarkStart w:id="0" w:name="_GoBack"/>
      <w:bookmarkEnd w:id="0"/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F4930">
        <w:rPr>
          <w:rFonts w:ascii="Times New Roman" w:hAnsi="Times New Roman" w:cs="Times New Roman"/>
          <w:sz w:val="24"/>
          <w:szCs w:val="24"/>
        </w:rPr>
        <w:t xml:space="preserve"> 40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4930" w:rsidRPr="00AF4930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APPLICATIONS OF BUFFERS</w:t>
      </w:r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F4930" w:rsidRPr="00AF4930" w:rsidRDefault="00AF4930" w:rsidP="00AF4930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 xml:space="preserve">Buffers are solutions that </w:t>
      </w:r>
      <w:r w:rsidRPr="00AF4930">
        <w:rPr>
          <w:rStyle w:val="Strong"/>
          <w:color w:val="000000" w:themeColor="text1"/>
          <w:sz w:val="28"/>
          <w:szCs w:val="28"/>
        </w:rPr>
        <w:t>resist changes in pH</w:t>
      </w:r>
      <w:r w:rsidRPr="00AF4930">
        <w:rPr>
          <w:color w:val="000000" w:themeColor="text1"/>
          <w:sz w:val="28"/>
          <w:szCs w:val="28"/>
        </w:rPr>
        <w:t xml:space="preserve"> when small amounts of acid or base are added. In pharmaceutical sciences, maintaining an appropriate pH is essential for </w:t>
      </w:r>
      <w:r w:rsidRPr="00AF4930">
        <w:rPr>
          <w:rStyle w:val="Strong"/>
          <w:color w:val="000000" w:themeColor="text1"/>
          <w:sz w:val="28"/>
          <w:szCs w:val="28"/>
        </w:rPr>
        <w:t>drug stability, solubility, bioavailability, patient comfort, and therapeutic efficacy</w:t>
      </w:r>
      <w:r w:rsidRPr="00AF4930">
        <w:rPr>
          <w:color w:val="000000" w:themeColor="text1"/>
          <w:sz w:val="28"/>
          <w:szCs w:val="28"/>
        </w:rPr>
        <w:t xml:space="preserve">. Therefore, buffers have wide applications in </w:t>
      </w:r>
      <w:r w:rsidRPr="00AF4930">
        <w:rPr>
          <w:rStyle w:val="Strong"/>
          <w:color w:val="000000" w:themeColor="text1"/>
          <w:sz w:val="28"/>
          <w:szCs w:val="28"/>
        </w:rPr>
        <w:t>formulation, analysis, manufacturing, and biological systems</w:t>
      </w:r>
      <w:r w:rsidRPr="00AF4930">
        <w:rPr>
          <w:color w:val="000000" w:themeColor="text1"/>
          <w:sz w:val="28"/>
          <w:szCs w:val="28"/>
        </w:rPr>
        <w:t>.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t>Applications of Buffers in Pharmacy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t>1. Maintaining pH of Pharmaceutical Preparations</w:t>
      </w:r>
    </w:p>
    <w:p w:rsidR="00AF4930" w:rsidRPr="00AF4930" w:rsidRDefault="00AF4930" w:rsidP="00AF4930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Many drugs are stable only within a specific pH range</w:t>
      </w:r>
    </w:p>
    <w:p w:rsidR="00AF4930" w:rsidRPr="00AF4930" w:rsidRDefault="00AF4930" w:rsidP="00AF4930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Buffers prevent degradation due to pH fluctuations</w:t>
      </w:r>
    </w:p>
    <w:p w:rsidR="00AF4930" w:rsidRPr="00AF4930" w:rsidRDefault="00AF4930" w:rsidP="00AF4930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rStyle w:val="Strong"/>
          <w:color w:val="000000" w:themeColor="text1"/>
          <w:sz w:val="28"/>
          <w:szCs w:val="28"/>
        </w:rPr>
        <w:t>Examples</w:t>
      </w:r>
    </w:p>
    <w:p w:rsidR="00AF4930" w:rsidRPr="00AF4930" w:rsidRDefault="00AF4930" w:rsidP="00AF4930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Injectable solutions</w:t>
      </w:r>
    </w:p>
    <w:p w:rsidR="00AF4930" w:rsidRPr="00AF4930" w:rsidRDefault="00AF4930" w:rsidP="00AF4930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Oral liquid preparations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t>2. Enhancing Drug Stability</w:t>
      </w:r>
    </w:p>
    <w:p w:rsidR="00AF4930" w:rsidRPr="00AF4930" w:rsidRDefault="00AF4930" w:rsidP="00AF4930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 xml:space="preserve">Buffers protect drugs from </w:t>
      </w:r>
      <w:r w:rsidRPr="00AF4930">
        <w:rPr>
          <w:rStyle w:val="Strong"/>
          <w:color w:val="000000" w:themeColor="text1"/>
          <w:sz w:val="28"/>
          <w:szCs w:val="28"/>
        </w:rPr>
        <w:t>hydrolysis and oxidation</w:t>
      </w:r>
    </w:p>
    <w:p w:rsidR="00AF4930" w:rsidRPr="00AF4930" w:rsidRDefault="00AF4930" w:rsidP="00AF4930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Proper pH improves shelf life</w:t>
      </w:r>
    </w:p>
    <w:p w:rsidR="00AF4930" w:rsidRPr="00AF4930" w:rsidRDefault="00AF4930" w:rsidP="00AF4930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rStyle w:val="Strong"/>
          <w:color w:val="000000" w:themeColor="text1"/>
          <w:sz w:val="28"/>
          <w:szCs w:val="28"/>
        </w:rPr>
        <w:t>Example</w:t>
      </w:r>
    </w:p>
    <w:p w:rsidR="00AF4930" w:rsidRPr="00AF4930" w:rsidRDefault="00AF4930" w:rsidP="00AF4930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Penicillin preparations buffered to improve stability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t>3. Improving Drug Solubility</w:t>
      </w:r>
    </w:p>
    <w:p w:rsidR="00AF4930" w:rsidRPr="00AF4930" w:rsidRDefault="00AF4930" w:rsidP="00AF4930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Ionization of weak acids and bases depends on pH</w:t>
      </w:r>
    </w:p>
    <w:p w:rsidR="00AF4930" w:rsidRPr="00AF4930" w:rsidRDefault="00AF4930" w:rsidP="00AF4930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Buffers help maintain solubility by controlling pH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t>4. Ophthalmic Preparations</w:t>
      </w:r>
    </w:p>
    <w:p w:rsidR="00AF4930" w:rsidRPr="00AF4930" w:rsidRDefault="00AF4930" w:rsidP="00AF4930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 xml:space="preserve">Eye fluids have a pH of about </w:t>
      </w:r>
      <w:r w:rsidRPr="00AF4930">
        <w:rPr>
          <w:rStyle w:val="Strong"/>
          <w:color w:val="000000" w:themeColor="text1"/>
          <w:sz w:val="28"/>
          <w:szCs w:val="28"/>
        </w:rPr>
        <w:t>7.4</w:t>
      </w:r>
    </w:p>
    <w:p w:rsidR="00AF4930" w:rsidRPr="00AF4930" w:rsidRDefault="00AF4930" w:rsidP="00AF4930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Buffers reduce irritation and improve patient comfort</w:t>
      </w:r>
    </w:p>
    <w:p w:rsidR="00AF4930" w:rsidRPr="00AF4930" w:rsidRDefault="00AF4930" w:rsidP="00AF4930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rStyle w:val="Strong"/>
          <w:color w:val="000000" w:themeColor="text1"/>
          <w:sz w:val="28"/>
          <w:szCs w:val="28"/>
        </w:rPr>
        <w:t>Common Buffers Used</w:t>
      </w:r>
    </w:p>
    <w:p w:rsidR="00AF4930" w:rsidRPr="00AF4930" w:rsidRDefault="00AF4930" w:rsidP="00AF4930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Borate buffer</w:t>
      </w:r>
    </w:p>
    <w:p w:rsidR="00AF4930" w:rsidRPr="00AF4930" w:rsidRDefault="00AF4930" w:rsidP="00AF4930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Phosphate buffer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 Injectable Preparations</w:t>
      </w:r>
    </w:p>
    <w:p w:rsidR="00AF4930" w:rsidRPr="00AF4930" w:rsidRDefault="00AF4930" w:rsidP="00AF4930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 xml:space="preserve">Extreme pH can cause </w:t>
      </w:r>
      <w:r w:rsidRPr="00AF4930">
        <w:rPr>
          <w:rStyle w:val="Strong"/>
          <w:color w:val="000000" w:themeColor="text1"/>
          <w:sz w:val="28"/>
          <w:szCs w:val="28"/>
        </w:rPr>
        <w:t>pain, tissue damage, or hemolysis</w:t>
      </w:r>
    </w:p>
    <w:p w:rsidR="00AF4930" w:rsidRPr="00AF4930" w:rsidRDefault="00AF4930" w:rsidP="00AF4930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Buffers maintain physiological pH</w:t>
      </w:r>
    </w:p>
    <w:p w:rsidR="00AF4930" w:rsidRPr="00AF4930" w:rsidRDefault="00AF4930" w:rsidP="00AF4930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rStyle w:val="Strong"/>
          <w:color w:val="000000" w:themeColor="text1"/>
          <w:sz w:val="28"/>
          <w:szCs w:val="28"/>
        </w:rPr>
        <w:t>Example</w:t>
      </w:r>
    </w:p>
    <w:p w:rsidR="00AF4930" w:rsidRPr="00AF4930" w:rsidRDefault="00AF4930" w:rsidP="00AF4930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Phosphate buffers in injections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t>6. Biological and Physiological Systems</w:t>
      </w:r>
    </w:p>
    <w:p w:rsidR="00AF4930" w:rsidRPr="00AF4930" w:rsidRDefault="00AF4930" w:rsidP="00AF4930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Buffers maintain pH of body fluids</w:t>
      </w:r>
    </w:p>
    <w:p w:rsidR="00AF4930" w:rsidRPr="00AF4930" w:rsidRDefault="00AF4930" w:rsidP="00AF4930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rStyle w:val="Strong"/>
          <w:color w:val="000000" w:themeColor="text1"/>
          <w:sz w:val="28"/>
          <w:szCs w:val="28"/>
        </w:rPr>
        <w:t>Examples</w:t>
      </w:r>
    </w:p>
    <w:p w:rsidR="00AF4930" w:rsidRPr="00AF4930" w:rsidRDefault="00AF4930" w:rsidP="00AF4930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Blood buffer system (bicarbonate buffer)</w:t>
      </w:r>
    </w:p>
    <w:p w:rsidR="00AF4930" w:rsidRPr="00AF4930" w:rsidRDefault="00AF4930" w:rsidP="00AF4930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Phosphate buffer system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t>7. Analytical Applications</w:t>
      </w:r>
    </w:p>
    <w:p w:rsidR="00AF4930" w:rsidRPr="00AF4930" w:rsidRDefault="00AF4930" w:rsidP="00AF4930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 xml:space="preserve">Used in </w:t>
      </w:r>
      <w:r w:rsidRPr="00AF4930">
        <w:rPr>
          <w:rStyle w:val="Strong"/>
          <w:color w:val="000000" w:themeColor="text1"/>
          <w:sz w:val="28"/>
          <w:szCs w:val="28"/>
        </w:rPr>
        <w:t>pH measurement and calibration</w:t>
      </w:r>
    </w:p>
    <w:p w:rsidR="00AF4930" w:rsidRPr="00AF4930" w:rsidRDefault="00AF4930" w:rsidP="00AF4930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Essential in chromatographic techniques</w:t>
      </w:r>
    </w:p>
    <w:p w:rsidR="00AF4930" w:rsidRPr="00AF4930" w:rsidRDefault="00AF4930" w:rsidP="00AF4930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rStyle w:val="Strong"/>
          <w:color w:val="000000" w:themeColor="text1"/>
          <w:sz w:val="28"/>
          <w:szCs w:val="28"/>
        </w:rPr>
        <w:t>Examples</w:t>
      </w:r>
    </w:p>
    <w:p w:rsidR="00AF4930" w:rsidRPr="00AF4930" w:rsidRDefault="00AF4930" w:rsidP="00AF4930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Buffer solutions in HPLC and electrophoresis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8. Dissolution and Bioavailability Studies</w:t>
      </w:r>
    </w:p>
    <w:p w:rsidR="00AF4930" w:rsidRPr="00AF4930" w:rsidRDefault="00AF4930" w:rsidP="00AF4930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Buffers simulate physiological pH conditions</w:t>
      </w:r>
    </w:p>
    <w:p w:rsidR="00AF4930" w:rsidRPr="00AF4930" w:rsidRDefault="00AF4930" w:rsidP="00AF4930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 xml:space="preserve">Used in </w:t>
      </w:r>
      <w:r w:rsidRPr="00AF4930">
        <w:rPr>
          <w:rStyle w:val="Strong"/>
          <w:color w:val="000000" w:themeColor="text1"/>
          <w:sz w:val="28"/>
          <w:szCs w:val="28"/>
        </w:rPr>
        <w:t>in-vitro drug release testing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t>9. Enzyme Reactions and Biotechnology</w:t>
      </w:r>
    </w:p>
    <w:p w:rsidR="00AF4930" w:rsidRPr="00AF4930" w:rsidRDefault="00AF4930" w:rsidP="00AF4930">
      <w:pPr>
        <w:pStyle w:val="NormalWeb"/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Enzymes require specific pH for optimum activity</w:t>
      </w:r>
    </w:p>
    <w:p w:rsidR="00AF4930" w:rsidRPr="00AF4930" w:rsidRDefault="00AF4930" w:rsidP="00AF4930">
      <w:pPr>
        <w:pStyle w:val="NormalWeb"/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Buffers maintain required pH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t>10. Preservation of Formulations</w:t>
      </w:r>
    </w:p>
    <w:p w:rsidR="00AF4930" w:rsidRPr="00AF4930" w:rsidRDefault="00AF4930" w:rsidP="00AF4930">
      <w:pPr>
        <w:pStyle w:val="NormalWeb"/>
        <w:numPr>
          <w:ilvl w:val="0"/>
          <w:numId w:val="3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Preservatives are effective only at specific pH ranges</w:t>
      </w:r>
    </w:p>
    <w:p w:rsidR="00AF4930" w:rsidRPr="00AF4930" w:rsidRDefault="00AF4930" w:rsidP="00AF4930">
      <w:pPr>
        <w:pStyle w:val="NormalWeb"/>
        <w:numPr>
          <w:ilvl w:val="0"/>
          <w:numId w:val="3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Buffers help maintain preservative efficacy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t>11. Manufacturing and Quality Control</w:t>
      </w:r>
    </w:p>
    <w:p w:rsidR="00AF4930" w:rsidRPr="00AF4930" w:rsidRDefault="00AF4930" w:rsidP="00AF4930">
      <w:pPr>
        <w:pStyle w:val="NormalWeb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Used in formulation development</w:t>
      </w:r>
    </w:p>
    <w:p w:rsidR="00AF4930" w:rsidRPr="00AF4930" w:rsidRDefault="00AF4930" w:rsidP="00AF4930">
      <w:pPr>
        <w:pStyle w:val="NormalWeb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Ensures batch-to-batch consistency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t>Advantages of Buffers</w:t>
      </w:r>
    </w:p>
    <w:p w:rsidR="00AF4930" w:rsidRPr="00AF4930" w:rsidRDefault="00AF4930" w:rsidP="00AF4930">
      <w:pPr>
        <w:pStyle w:val="NormalWeb"/>
        <w:numPr>
          <w:ilvl w:val="0"/>
          <w:numId w:val="3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Maintain constant pH</w:t>
      </w:r>
    </w:p>
    <w:p w:rsidR="00AF4930" w:rsidRPr="00AF4930" w:rsidRDefault="00AF4930" w:rsidP="00AF4930">
      <w:pPr>
        <w:pStyle w:val="NormalWeb"/>
        <w:numPr>
          <w:ilvl w:val="0"/>
          <w:numId w:val="3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Improve drug stability and safety</w:t>
      </w:r>
    </w:p>
    <w:p w:rsidR="00AF4930" w:rsidRPr="00AF4930" w:rsidRDefault="00AF4930" w:rsidP="00AF4930">
      <w:pPr>
        <w:pStyle w:val="NormalWeb"/>
        <w:numPr>
          <w:ilvl w:val="0"/>
          <w:numId w:val="3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lastRenderedPageBreak/>
        <w:t>Enhance therapeutic effectiveness</w:t>
      </w:r>
    </w:p>
    <w:p w:rsidR="00AF4930" w:rsidRPr="00AF4930" w:rsidRDefault="00AF4930" w:rsidP="00AF493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30" w:rsidRPr="00AF4930" w:rsidRDefault="00AF4930" w:rsidP="00AF4930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30">
        <w:rPr>
          <w:rFonts w:ascii="Times New Roman" w:hAnsi="Times New Roman" w:cs="Times New Roman"/>
          <w:color w:val="000000" w:themeColor="text1"/>
          <w:sz w:val="28"/>
          <w:szCs w:val="28"/>
        </w:rPr>
        <w:t>Limitations of Buffers</w:t>
      </w:r>
    </w:p>
    <w:p w:rsidR="00AF4930" w:rsidRPr="00AF4930" w:rsidRDefault="00AF4930" w:rsidP="00AF4930">
      <w:pPr>
        <w:pStyle w:val="NormalWeb"/>
        <w:numPr>
          <w:ilvl w:val="0"/>
          <w:numId w:val="3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AF4930">
        <w:rPr>
          <w:color w:val="000000" w:themeColor="text1"/>
          <w:sz w:val="28"/>
          <w:szCs w:val="28"/>
        </w:rPr>
        <w:t>Excess buffer may cause irritation</w:t>
      </w:r>
    </w:p>
    <w:p w:rsidR="00AF4930" w:rsidRDefault="00AF4930" w:rsidP="00AF4930">
      <w:pPr>
        <w:pStyle w:val="NormalWeb"/>
        <w:numPr>
          <w:ilvl w:val="0"/>
          <w:numId w:val="33"/>
        </w:numPr>
        <w:spacing w:line="360" w:lineRule="auto"/>
        <w:jc w:val="both"/>
      </w:pPr>
      <w:r w:rsidRPr="00AF4930">
        <w:rPr>
          <w:color w:val="000000" w:themeColor="text1"/>
          <w:sz w:val="28"/>
          <w:szCs w:val="28"/>
        </w:rPr>
        <w:t>Incompatibility with some drugs</w:t>
      </w:r>
    </w:p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BEA" w:rsidRDefault="00123BEA" w:rsidP="00DB570F">
      <w:pPr>
        <w:spacing w:after="0" w:line="240" w:lineRule="auto"/>
      </w:pPr>
      <w:r>
        <w:separator/>
      </w:r>
    </w:p>
  </w:endnote>
  <w:endnote w:type="continuationSeparator" w:id="0">
    <w:p w:rsidR="00123BEA" w:rsidRDefault="00123BEA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</w:t>
    </w:r>
    <w:proofErr w:type="gramStart"/>
    <w:r>
      <w:rPr>
        <w:rFonts w:ascii="Times New Roman" w:hAnsi="Times New Roman" w:cs="Times New Roman"/>
        <w:sz w:val="16"/>
      </w:rPr>
      <w:t>SEMESTER(</w:t>
    </w:r>
    <w:proofErr w:type="gramEnd"/>
    <w:r>
      <w:rPr>
        <w:rFonts w:ascii="Times New Roman" w:hAnsi="Times New Roman" w:cs="Times New Roman"/>
        <w:sz w:val="16"/>
      </w:rPr>
      <w:t>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BEA" w:rsidRDefault="00123BEA" w:rsidP="00DB570F">
      <w:pPr>
        <w:spacing w:after="0" w:line="240" w:lineRule="auto"/>
      </w:pPr>
      <w:r>
        <w:separator/>
      </w:r>
    </w:p>
  </w:footnote>
  <w:footnote w:type="continuationSeparator" w:id="0">
    <w:p w:rsidR="00123BEA" w:rsidRDefault="00123BEA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123BE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2904C4">
          <w:rPr>
            <w:noProof/>
          </w:rPr>
          <w:t>5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123BEA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123BE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A3D26"/>
    <w:multiLevelType w:val="multilevel"/>
    <w:tmpl w:val="4F9C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628E4"/>
    <w:multiLevelType w:val="multilevel"/>
    <w:tmpl w:val="F5BE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83FFB"/>
    <w:multiLevelType w:val="multilevel"/>
    <w:tmpl w:val="6EB8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42F82"/>
    <w:multiLevelType w:val="multilevel"/>
    <w:tmpl w:val="B63A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DA3B8E"/>
    <w:multiLevelType w:val="multilevel"/>
    <w:tmpl w:val="E630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41F8A"/>
    <w:multiLevelType w:val="multilevel"/>
    <w:tmpl w:val="45B6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30319D"/>
    <w:multiLevelType w:val="multilevel"/>
    <w:tmpl w:val="2820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3005B5"/>
    <w:multiLevelType w:val="multilevel"/>
    <w:tmpl w:val="409C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9470D0"/>
    <w:multiLevelType w:val="multilevel"/>
    <w:tmpl w:val="70C2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063D12"/>
    <w:multiLevelType w:val="multilevel"/>
    <w:tmpl w:val="2D84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7E1FE8"/>
    <w:multiLevelType w:val="multilevel"/>
    <w:tmpl w:val="9A00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C9686B"/>
    <w:multiLevelType w:val="multilevel"/>
    <w:tmpl w:val="24EE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F270E0"/>
    <w:multiLevelType w:val="multilevel"/>
    <w:tmpl w:val="4232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39580A"/>
    <w:multiLevelType w:val="multilevel"/>
    <w:tmpl w:val="987E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6174DB"/>
    <w:multiLevelType w:val="multilevel"/>
    <w:tmpl w:val="884A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273BA6"/>
    <w:multiLevelType w:val="multilevel"/>
    <w:tmpl w:val="F8B4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6A5CE7"/>
    <w:multiLevelType w:val="multilevel"/>
    <w:tmpl w:val="B96E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2D6D41"/>
    <w:multiLevelType w:val="multilevel"/>
    <w:tmpl w:val="6BC2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1B788E"/>
    <w:multiLevelType w:val="multilevel"/>
    <w:tmpl w:val="5678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9"/>
  </w:num>
  <w:num w:numId="3">
    <w:abstractNumId w:val="25"/>
  </w:num>
  <w:num w:numId="4">
    <w:abstractNumId w:val="2"/>
  </w:num>
  <w:num w:numId="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2"/>
  </w:num>
  <w:num w:numId="9">
    <w:abstractNumId w:val="28"/>
  </w:num>
  <w:num w:numId="10">
    <w:abstractNumId w:val="3"/>
  </w:num>
  <w:num w:numId="11">
    <w:abstractNumId w:val="22"/>
  </w:num>
  <w:num w:numId="12">
    <w:abstractNumId w:val="14"/>
  </w:num>
  <w:num w:numId="13">
    <w:abstractNumId w:val="20"/>
  </w:num>
  <w:num w:numId="14">
    <w:abstractNumId w:val="7"/>
  </w:num>
  <w:num w:numId="15">
    <w:abstractNumId w:val="11"/>
  </w:num>
  <w:num w:numId="16">
    <w:abstractNumId w:val="13"/>
  </w:num>
  <w:num w:numId="17">
    <w:abstractNumId w:val="26"/>
  </w:num>
  <w:num w:numId="18">
    <w:abstractNumId w:val="21"/>
  </w:num>
  <w:num w:numId="19">
    <w:abstractNumId w:val="19"/>
  </w:num>
  <w:num w:numId="20">
    <w:abstractNumId w:val="1"/>
  </w:num>
  <w:num w:numId="21">
    <w:abstractNumId w:val="15"/>
  </w:num>
  <w:num w:numId="22">
    <w:abstractNumId w:val="10"/>
  </w:num>
  <w:num w:numId="23">
    <w:abstractNumId w:val="16"/>
  </w:num>
  <w:num w:numId="24">
    <w:abstractNumId w:val="18"/>
  </w:num>
  <w:num w:numId="25">
    <w:abstractNumId w:val="27"/>
  </w:num>
  <w:num w:numId="26">
    <w:abstractNumId w:val="12"/>
  </w:num>
  <w:num w:numId="27">
    <w:abstractNumId w:val="17"/>
  </w:num>
  <w:num w:numId="28">
    <w:abstractNumId w:val="8"/>
  </w:num>
  <w:num w:numId="29">
    <w:abstractNumId w:val="23"/>
  </w:num>
  <w:num w:numId="30">
    <w:abstractNumId w:val="6"/>
  </w:num>
  <w:num w:numId="31">
    <w:abstractNumId w:val="5"/>
  </w:num>
  <w:num w:numId="32">
    <w:abstractNumId w:val="0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23BEA"/>
    <w:rsid w:val="00135D9A"/>
    <w:rsid w:val="001827D1"/>
    <w:rsid w:val="00242B5E"/>
    <w:rsid w:val="002904C4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782745"/>
    <w:rsid w:val="007F2169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AF3148"/>
    <w:rsid w:val="00AF4930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3</cp:revision>
  <cp:lastPrinted>2024-05-22T07:36:00Z</cp:lastPrinted>
  <dcterms:created xsi:type="dcterms:W3CDTF">2025-12-24T04:56:00Z</dcterms:created>
  <dcterms:modified xsi:type="dcterms:W3CDTF">2025-12-24T05:11:00Z</dcterms:modified>
</cp:coreProperties>
</file>