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7F2169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4</w:t>
      </w:r>
      <w:r w:rsidR="00A8407A">
        <w:rPr>
          <w:rFonts w:ascii="Times New Roman" w:hAnsi="Times New Roman" w:cs="Times New Roman"/>
          <w:sz w:val="24"/>
          <w:szCs w:val="24"/>
        </w:rPr>
        <w:t>(</w:t>
      </w:r>
      <w:r w:rsidRPr="007F2169">
        <w:rPr>
          <w:rFonts w:ascii="Times New Roman" w:hAnsi="Times New Roman" w:cs="Times New Roman"/>
          <w:sz w:val="24"/>
          <w:szCs w:val="24"/>
        </w:rPr>
        <w:t>COMPLEXATION AND PROTEIN BINDING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C67733">
        <w:rPr>
          <w:rFonts w:ascii="Times New Roman" w:hAnsi="Times New Roman" w:cs="Times New Roman"/>
          <w:sz w:val="24"/>
          <w:szCs w:val="24"/>
        </w:rPr>
        <w:t>45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Pr="00C67733" w:rsidRDefault="00DA1A81" w:rsidP="00B06C2F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C67733" w:rsidRPr="00C67733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APPLICATIONS OF BUFFERS</w:t>
      </w:r>
    </w:p>
    <w:bookmarkEnd w:id="0"/>
    <w:p w:rsidR="00C67733" w:rsidRPr="00C67733" w:rsidRDefault="00C67733" w:rsidP="00C67733">
      <w:pPr>
        <w:pStyle w:val="Heading3"/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>1. Pharmaceutical Formulations</w:t>
      </w:r>
    </w:p>
    <w:p w:rsidR="00C67733" w:rsidRPr="00C67733" w:rsidRDefault="00C67733" w:rsidP="00C67733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 xml:space="preserve">Maintain </w:t>
      </w:r>
      <w:r w:rsidRPr="00C67733">
        <w:rPr>
          <w:rStyle w:val="Strong"/>
          <w:sz w:val="28"/>
          <w:szCs w:val="28"/>
        </w:rPr>
        <w:t>optimal pH</w:t>
      </w:r>
      <w:r w:rsidRPr="00C67733">
        <w:rPr>
          <w:sz w:val="28"/>
          <w:szCs w:val="28"/>
        </w:rPr>
        <w:t xml:space="preserve"> for drug stability</w:t>
      </w:r>
    </w:p>
    <w:p w:rsidR="00C67733" w:rsidRPr="00C67733" w:rsidRDefault="00C67733" w:rsidP="00C67733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 xml:space="preserve">Prevent </w:t>
      </w:r>
      <w:r w:rsidRPr="00C67733">
        <w:rPr>
          <w:rStyle w:val="Strong"/>
          <w:sz w:val="28"/>
          <w:szCs w:val="28"/>
        </w:rPr>
        <w:t>degradation</w:t>
      </w:r>
      <w:r w:rsidRPr="00C67733">
        <w:rPr>
          <w:sz w:val="28"/>
          <w:szCs w:val="28"/>
        </w:rPr>
        <w:t xml:space="preserve"> of sensitive drugs</w:t>
      </w:r>
    </w:p>
    <w:p w:rsidR="00C67733" w:rsidRPr="00C67733" w:rsidRDefault="00C67733" w:rsidP="00C67733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 xml:space="preserve">Reduce </w:t>
      </w:r>
      <w:r w:rsidRPr="00C67733">
        <w:rPr>
          <w:rStyle w:val="Strong"/>
          <w:sz w:val="28"/>
          <w:szCs w:val="28"/>
        </w:rPr>
        <w:t>irritation</w:t>
      </w:r>
      <w:r w:rsidRPr="00C67733">
        <w:rPr>
          <w:sz w:val="28"/>
          <w:szCs w:val="28"/>
        </w:rPr>
        <w:t xml:space="preserve"> in injectable and ophthalmic preparations</w:t>
      </w:r>
    </w:p>
    <w:p w:rsidR="00C67733" w:rsidRPr="00C67733" w:rsidRDefault="00C67733" w:rsidP="00C67733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>Examples:</w:t>
      </w:r>
    </w:p>
    <w:p w:rsidR="00C67733" w:rsidRPr="00C67733" w:rsidRDefault="00C67733" w:rsidP="00C67733">
      <w:pPr>
        <w:pStyle w:val="NormalWeb"/>
        <w:numPr>
          <w:ilvl w:val="1"/>
          <w:numId w:val="15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>Phosphate buffers in injectables</w:t>
      </w:r>
    </w:p>
    <w:p w:rsidR="00C67733" w:rsidRPr="00C67733" w:rsidRDefault="00C67733" w:rsidP="00C67733">
      <w:pPr>
        <w:pStyle w:val="NormalWeb"/>
        <w:numPr>
          <w:ilvl w:val="1"/>
          <w:numId w:val="15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>Borate buffers in eye drops</w:t>
      </w:r>
    </w:p>
    <w:p w:rsidR="00C67733" w:rsidRPr="00C67733" w:rsidRDefault="00C67733" w:rsidP="00C677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733" w:rsidRPr="00C67733" w:rsidRDefault="00C67733" w:rsidP="00C67733">
      <w:pPr>
        <w:pStyle w:val="Heading3"/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>2. Biological Systems</w:t>
      </w:r>
    </w:p>
    <w:p w:rsidR="00C67733" w:rsidRPr="00C67733" w:rsidRDefault="00C67733" w:rsidP="00C67733">
      <w:pPr>
        <w:pStyle w:val="NormalWeb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 xml:space="preserve">Maintain </w:t>
      </w:r>
      <w:r w:rsidRPr="00C67733">
        <w:rPr>
          <w:rStyle w:val="Strong"/>
          <w:sz w:val="28"/>
          <w:szCs w:val="28"/>
        </w:rPr>
        <w:t>physiological pH</w:t>
      </w:r>
      <w:r w:rsidRPr="00C67733">
        <w:rPr>
          <w:sz w:val="28"/>
          <w:szCs w:val="28"/>
        </w:rPr>
        <w:t xml:space="preserve"> of blood, plasma, and intracellular fluids</w:t>
      </w:r>
    </w:p>
    <w:p w:rsidR="00C67733" w:rsidRPr="00C67733" w:rsidRDefault="00C67733" w:rsidP="00C67733">
      <w:pPr>
        <w:pStyle w:val="NormalWeb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 xml:space="preserve">Essential for </w:t>
      </w:r>
      <w:r w:rsidRPr="00C67733">
        <w:rPr>
          <w:rStyle w:val="Strong"/>
          <w:sz w:val="28"/>
          <w:szCs w:val="28"/>
        </w:rPr>
        <w:t>enzyme activity</w:t>
      </w:r>
      <w:r w:rsidRPr="00C67733">
        <w:rPr>
          <w:sz w:val="28"/>
          <w:szCs w:val="28"/>
        </w:rPr>
        <w:t xml:space="preserve"> and </w:t>
      </w:r>
      <w:r w:rsidRPr="00C67733">
        <w:rPr>
          <w:rStyle w:val="Strong"/>
          <w:sz w:val="28"/>
          <w:szCs w:val="28"/>
        </w:rPr>
        <w:t>metabolic processes</w:t>
      </w:r>
    </w:p>
    <w:p w:rsidR="00C67733" w:rsidRPr="00C67733" w:rsidRDefault="00C67733" w:rsidP="00C67733">
      <w:pPr>
        <w:pStyle w:val="NormalWeb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>Examples:</w:t>
      </w:r>
    </w:p>
    <w:p w:rsidR="00C67733" w:rsidRPr="00C67733" w:rsidRDefault="00C67733" w:rsidP="00C67733">
      <w:pPr>
        <w:pStyle w:val="NormalWeb"/>
        <w:numPr>
          <w:ilvl w:val="1"/>
          <w:numId w:val="16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>Bicarbonate buffer system in blood (pH 7.35–7.45)</w:t>
      </w:r>
    </w:p>
    <w:p w:rsidR="00C67733" w:rsidRPr="00C67733" w:rsidRDefault="00C67733" w:rsidP="00C67733">
      <w:pPr>
        <w:pStyle w:val="NormalWeb"/>
        <w:numPr>
          <w:ilvl w:val="1"/>
          <w:numId w:val="16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>Phosphate buffer system inside cells</w:t>
      </w:r>
    </w:p>
    <w:p w:rsidR="00C67733" w:rsidRPr="00C67733" w:rsidRDefault="00C67733" w:rsidP="00C677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733" w:rsidRPr="00C67733" w:rsidRDefault="00C67733" w:rsidP="00C67733">
      <w:pPr>
        <w:pStyle w:val="Heading3"/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>3. Ophthalmic Preparations</w:t>
      </w:r>
    </w:p>
    <w:p w:rsidR="00C67733" w:rsidRPr="00C67733" w:rsidRDefault="00C67733" w:rsidP="00C67733">
      <w:pPr>
        <w:pStyle w:val="NormalWeb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lastRenderedPageBreak/>
        <w:t xml:space="preserve">Eye drops require </w:t>
      </w:r>
      <w:r w:rsidRPr="00C67733">
        <w:rPr>
          <w:rStyle w:val="Strong"/>
          <w:sz w:val="28"/>
          <w:szCs w:val="28"/>
        </w:rPr>
        <w:t>near-neutral pH</w:t>
      </w:r>
    </w:p>
    <w:p w:rsidR="00C67733" w:rsidRPr="00C67733" w:rsidRDefault="00C67733" w:rsidP="00C67733">
      <w:pPr>
        <w:pStyle w:val="NormalWeb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 xml:space="preserve">Buffers reduce </w:t>
      </w:r>
      <w:r w:rsidRPr="00C67733">
        <w:rPr>
          <w:rStyle w:val="Strong"/>
          <w:sz w:val="28"/>
          <w:szCs w:val="28"/>
        </w:rPr>
        <w:t>eye irritation</w:t>
      </w:r>
    </w:p>
    <w:p w:rsidR="00C67733" w:rsidRPr="00C67733" w:rsidRDefault="00C67733" w:rsidP="00C67733">
      <w:pPr>
        <w:pStyle w:val="NormalWeb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>Examples: Borate and phosphate buffers</w:t>
      </w:r>
    </w:p>
    <w:p w:rsidR="00C67733" w:rsidRPr="00C67733" w:rsidRDefault="00C67733" w:rsidP="00C677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733" w:rsidRPr="00C67733" w:rsidRDefault="00C67733" w:rsidP="00C67733">
      <w:pPr>
        <w:pStyle w:val="Heading3"/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>4. Injectable Preparations</w:t>
      </w:r>
    </w:p>
    <w:p w:rsidR="00C67733" w:rsidRPr="00C67733" w:rsidRDefault="00C67733" w:rsidP="00C67733">
      <w:pPr>
        <w:pStyle w:val="NormalWeb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 xml:space="preserve">Maintain </w:t>
      </w:r>
      <w:r w:rsidRPr="00C67733">
        <w:rPr>
          <w:rStyle w:val="Strong"/>
          <w:sz w:val="28"/>
          <w:szCs w:val="28"/>
        </w:rPr>
        <w:t>physiological pH</w:t>
      </w:r>
      <w:r w:rsidRPr="00C67733">
        <w:rPr>
          <w:sz w:val="28"/>
          <w:szCs w:val="28"/>
        </w:rPr>
        <w:t xml:space="preserve"> to prevent </w:t>
      </w:r>
      <w:r w:rsidRPr="00C67733">
        <w:rPr>
          <w:rStyle w:val="Strong"/>
          <w:sz w:val="28"/>
          <w:szCs w:val="28"/>
        </w:rPr>
        <w:t>pain, hemolysis, and tissue damage</w:t>
      </w:r>
    </w:p>
    <w:p w:rsidR="00C67733" w:rsidRPr="00C67733" w:rsidRDefault="00C67733" w:rsidP="00C67733">
      <w:pPr>
        <w:pStyle w:val="NormalWeb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>Examples: Buffered saline solutions for IV injections</w:t>
      </w:r>
    </w:p>
    <w:p w:rsidR="00C67733" w:rsidRPr="00C67733" w:rsidRDefault="00C67733" w:rsidP="00C677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733" w:rsidRPr="00C67733" w:rsidRDefault="00C67733" w:rsidP="00C67733">
      <w:pPr>
        <w:pStyle w:val="Heading3"/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>5. Oral Liquid Formulations</w:t>
      </w:r>
    </w:p>
    <w:p w:rsidR="00C67733" w:rsidRPr="00C67733" w:rsidRDefault="00C67733" w:rsidP="00C67733">
      <w:pPr>
        <w:pStyle w:val="NormalWeb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 xml:space="preserve">Buffers improve </w:t>
      </w:r>
      <w:r w:rsidRPr="00C67733">
        <w:rPr>
          <w:rStyle w:val="Strong"/>
          <w:sz w:val="28"/>
          <w:szCs w:val="28"/>
        </w:rPr>
        <w:t>taste, stability, and solubility</w:t>
      </w:r>
    </w:p>
    <w:p w:rsidR="00C67733" w:rsidRPr="00C67733" w:rsidRDefault="00C67733" w:rsidP="00C67733">
      <w:pPr>
        <w:pStyle w:val="NormalWeb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 xml:space="preserve">Maintain effective </w:t>
      </w:r>
      <w:r w:rsidRPr="00C67733">
        <w:rPr>
          <w:rStyle w:val="Strong"/>
          <w:sz w:val="28"/>
          <w:szCs w:val="28"/>
        </w:rPr>
        <w:t>drug activity</w:t>
      </w:r>
    </w:p>
    <w:p w:rsidR="00C67733" w:rsidRPr="00C67733" w:rsidRDefault="00C67733" w:rsidP="00C67733">
      <w:pPr>
        <w:pStyle w:val="NormalWeb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>Examples: Syrups and elixirs</w:t>
      </w:r>
    </w:p>
    <w:p w:rsidR="00C67733" w:rsidRPr="00C67733" w:rsidRDefault="00C67733" w:rsidP="00C677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733" w:rsidRPr="00C67733" w:rsidRDefault="00C67733" w:rsidP="00C67733">
      <w:pPr>
        <w:pStyle w:val="Heading3"/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>6. Analytical Applications</w:t>
      </w:r>
    </w:p>
    <w:p w:rsidR="00C67733" w:rsidRPr="00C67733" w:rsidRDefault="00C67733" w:rsidP="00C67733">
      <w:pPr>
        <w:pStyle w:val="NormalWeb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 xml:space="preserve">Used in </w:t>
      </w:r>
      <w:r w:rsidRPr="00C67733">
        <w:rPr>
          <w:rStyle w:val="Strong"/>
          <w:sz w:val="28"/>
          <w:szCs w:val="28"/>
        </w:rPr>
        <w:t>pH measurement and calibration</w:t>
      </w:r>
    </w:p>
    <w:p w:rsidR="00C67733" w:rsidRPr="00C67733" w:rsidRDefault="00C67733" w:rsidP="00C67733">
      <w:pPr>
        <w:pStyle w:val="NormalWeb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 xml:space="preserve">Essential in </w:t>
      </w:r>
      <w:r w:rsidRPr="00C67733">
        <w:rPr>
          <w:rStyle w:val="Strong"/>
          <w:sz w:val="28"/>
          <w:szCs w:val="28"/>
        </w:rPr>
        <w:t>dissolution studies</w:t>
      </w:r>
      <w:r w:rsidRPr="00C67733">
        <w:rPr>
          <w:sz w:val="28"/>
          <w:szCs w:val="28"/>
        </w:rPr>
        <w:t xml:space="preserve"> and </w:t>
      </w:r>
      <w:r w:rsidRPr="00C67733">
        <w:rPr>
          <w:rStyle w:val="Strong"/>
          <w:sz w:val="28"/>
          <w:szCs w:val="28"/>
        </w:rPr>
        <w:t>chromatographic analysis</w:t>
      </w:r>
    </w:p>
    <w:p w:rsidR="00C67733" w:rsidRPr="00C67733" w:rsidRDefault="00C67733" w:rsidP="00C67733">
      <w:pPr>
        <w:pStyle w:val="NormalWeb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>Examples: Buffer solutions in HPLC, electrophoresis</w:t>
      </w:r>
    </w:p>
    <w:p w:rsidR="00C67733" w:rsidRPr="00C67733" w:rsidRDefault="00C67733" w:rsidP="00C677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733" w:rsidRPr="00C67733" w:rsidRDefault="00C67733" w:rsidP="00C67733">
      <w:pPr>
        <w:pStyle w:val="Heading3"/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>7. Enzyme Reactions and Biotechnology</w:t>
      </w:r>
    </w:p>
    <w:p w:rsidR="00C67733" w:rsidRPr="00C67733" w:rsidRDefault="00C67733" w:rsidP="00C67733">
      <w:pPr>
        <w:pStyle w:val="NormalWeb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lastRenderedPageBreak/>
        <w:t xml:space="preserve">Enzymes are </w:t>
      </w:r>
      <w:r w:rsidRPr="00C67733">
        <w:rPr>
          <w:rStyle w:val="Strong"/>
          <w:sz w:val="28"/>
          <w:szCs w:val="28"/>
        </w:rPr>
        <w:t>pH-sensitive</w:t>
      </w:r>
    </w:p>
    <w:p w:rsidR="00C67733" w:rsidRPr="00C67733" w:rsidRDefault="00C67733" w:rsidP="00C67733">
      <w:pPr>
        <w:pStyle w:val="NormalWeb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 xml:space="preserve">Buffers maintain optimal pH for </w:t>
      </w:r>
      <w:r w:rsidRPr="00C67733">
        <w:rPr>
          <w:rStyle w:val="Strong"/>
          <w:sz w:val="28"/>
          <w:szCs w:val="28"/>
        </w:rPr>
        <w:t>enzyme activity</w:t>
      </w:r>
      <w:r w:rsidRPr="00C67733">
        <w:rPr>
          <w:sz w:val="28"/>
          <w:szCs w:val="28"/>
        </w:rPr>
        <w:t xml:space="preserve"> and </w:t>
      </w:r>
      <w:r w:rsidRPr="00C67733">
        <w:rPr>
          <w:rStyle w:val="Strong"/>
          <w:sz w:val="28"/>
          <w:szCs w:val="28"/>
        </w:rPr>
        <w:t>reaction kinetics</w:t>
      </w:r>
    </w:p>
    <w:p w:rsidR="00C67733" w:rsidRPr="00C67733" w:rsidRDefault="00C67733" w:rsidP="00C67733">
      <w:pPr>
        <w:pStyle w:val="NormalWeb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>Examples: Enzyme assays and fermentation media</w:t>
      </w:r>
    </w:p>
    <w:p w:rsidR="00C67733" w:rsidRPr="00C67733" w:rsidRDefault="00C67733" w:rsidP="00C677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733" w:rsidRPr="00C67733" w:rsidRDefault="00C67733" w:rsidP="00C67733">
      <w:pPr>
        <w:pStyle w:val="Heading3"/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>8. Preservation of Formulations</w:t>
      </w:r>
    </w:p>
    <w:p w:rsidR="00C67733" w:rsidRPr="00C67733" w:rsidRDefault="00C67733" w:rsidP="00C67733">
      <w:pPr>
        <w:pStyle w:val="NormalWeb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 xml:space="preserve">Buffers maintain pH to </w:t>
      </w:r>
      <w:r w:rsidRPr="00C67733">
        <w:rPr>
          <w:rStyle w:val="Strong"/>
          <w:sz w:val="28"/>
          <w:szCs w:val="28"/>
        </w:rPr>
        <w:t>enhance preservative efficacy</w:t>
      </w:r>
    </w:p>
    <w:p w:rsidR="00C67733" w:rsidRPr="00C67733" w:rsidRDefault="00C67733" w:rsidP="00C67733">
      <w:pPr>
        <w:pStyle w:val="NormalWeb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>Prevent microbial growth and chemical degradation</w:t>
      </w:r>
    </w:p>
    <w:p w:rsidR="00C67733" w:rsidRPr="00C67733" w:rsidRDefault="00C67733" w:rsidP="00C677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733" w:rsidRPr="00C67733" w:rsidRDefault="00C67733" w:rsidP="00C67733">
      <w:pPr>
        <w:pStyle w:val="Heading3"/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>9. Controlled Drug Release</w:t>
      </w:r>
    </w:p>
    <w:p w:rsidR="00C67733" w:rsidRPr="00C67733" w:rsidRDefault="00C67733" w:rsidP="00C67733">
      <w:pPr>
        <w:pStyle w:val="NormalWeb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 xml:space="preserve">Buffers in formulations help in </w:t>
      </w:r>
      <w:r w:rsidRPr="00C67733">
        <w:rPr>
          <w:rStyle w:val="Strong"/>
          <w:sz w:val="28"/>
          <w:szCs w:val="28"/>
        </w:rPr>
        <w:t>sustained or delayed release</w:t>
      </w:r>
      <w:r w:rsidRPr="00C67733">
        <w:rPr>
          <w:sz w:val="28"/>
          <w:szCs w:val="28"/>
        </w:rPr>
        <w:t xml:space="preserve"> of drugs</w:t>
      </w:r>
    </w:p>
    <w:p w:rsidR="00C67733" w:rsidRPr="00C67733" w:rsidRDefault="00C67733" w:rsidP="00C67733">
      <w:pPr>
        <w:pStyle w:val="NormalWeb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 xml:space="preserve">Maintain desired pH for </w:t>
      </w:r>
      <w:r w:rsidRPr="00C67733">
        <w:rPr>
          <w:rStyle w:val="Strong"/>
          <w:sz w:val="28"/>
          <w:szCs w:val="28"/>
        </w:rPr>
        <w:t>targeted release</w:t>
      </w:r>
    </w:p>
    <w:p w:rsidR="00C67733" w:rsidRPr="00C67733" w:rsidRDefault="00C67733" w:rsidP="00C677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733" w:rsidRPr="00C67733" w:rsidRDefault="00C67733" w:rsidP="00C67733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7733">
        <w:rPr>
          <w:rFonts w:ascii="Times New Roman" w:hAnsi="Times New Roman" w:cs="Times New Roman"/>
          <w:color w:val="000000" w:themeColor="text1"/>
          <w:sz w:val="28"/>
          <w:szCs w:val="28"/>
        </w:rPr>
        <w:t>Advantages of Buffers</w:t>
      </w:r>
    </w:p>
    <w:p w:rsidR="00C67733" w:rsidRPr="00C67733" w:rsidRDefault="00C67733" w:rsidP="00C67733">
      <w:pPr>
        <w:pStyle w:val="NormalWeb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 xml:space="preserve">Maintain </w:t>
      </w:r>
      <w:r w:rsidRPr="00C67733">
        <w:rPr>
          <w:rStyle w:val="Strong"/>
          <w:sz w:val="28"/>
          <w:szCs w:val="28"/>
        </w:rPr>
        <w:t>stable pH</w:t>
      </w:r>
      <w:r w:rsidRPr="00C67733">
        <w:rPr>
          <w:sz w:val="28"/>
          <w:szCs w:val="28"/>
        </w:rPr>
        <w:t xml:space="preserve"> under stress</w:t>
      </w:r>
    </w:p>
    <w:p w:rsidR="00C67733" w:rsidRPr="00C67733" w:rsidRDefault="00C67733" w:rsidP="00C67733">
      <w:pPr>
        <w:pStyle w:val="NormalWeb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 xml:space="preserve">Protect </w:t>
      </w:r>
      <w:r w:rsidRPr="00C67733">
        <w:rPr>
          <w:rStyle w:val="Strong"/>
          <w:sz w:val="28"/>
          <w:szCs w:val="28"/>
        </w:rPr>
        <w:t>drug and biological systems</w:t>
      </w:r>
    </w:p>
    <w:p w:rsidR="00C67733" w:rsidRPr="00C67733" w:rsidRDefault="00C67733" w:rsidP="00C67733">
      <w:pPr>
        <w:pStyle w:val="NormalWeb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 xml:space="preserve">Enhance </w:t>
      </w:r>
      <w:r w:rsidRPr="00C67733">
        <w:rPr>
          <w:rStyle w:val="Strong"/>
          <w:sz w:val="28"/>
          <w:szCs w:val="28"/>
        </w:rPr>
        <w:t>therapeutic effectiveness and patient safety</w:t>
      </w:r>
    </w:p>
    <w:p w:rsidR="00C67733" w:rsidRPr="00C67733" w:rsidRDefault="00C67733" w:rsidP="00C677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733" w:rsidRPr="00C67733" w:rsidRDefault="00C67733" w:rsidP="00C67733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7733">
        <w:rPr>
          <w:rFonts w:ascii="Times New Roman" w:hAnsi="Times New Roman" w:cs="Times New Roman"/>
          <w:color w:val="000000" w:themeColor="text1"/>
          <w:sz w:val="28"/>
          <w:szCs w:val="28"/>
        </w:rPr>
        <w:t>Limitations</w:t>
      </w:r>
    </w:p>
    <w:p w:rsidR="00C67733" w:rsidRPr="00C67733" w:rsidRDefault="00C67733" w:rsidP="00C67733">
      <w:pPr>
        <w:pStyle w:val="NormalWeb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 xml:space="preserve">Excess buffer may cause </w:t>
      </w:r>
      <w:r w:rsidRPr="00C67733">
        <w:rPr>
          <w:rStyle w:val="Strong"/>
          <w:sz w:val="28"/>
          <w:szCs w:val="28"/>
        </w:rPr>
        <w:t>irritation</w:t>
      </w:r>
    </w:p>
    <w:p w:rsidR="00C67733" w:rsidRPr="00C67733" w:rsidRDefault="00C67733" w:rsidP="00C67733">
      <w:pPr>
        <w:pStyle w:val="NormalWeb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lastRenderedPageBreak/>
        <w:t xml:space="preserve">Some buffers may </w:t>
      </w:r>
      <w:r w:rsidRPr="00C67733">
        <w:rPr>
          <w:rStyle w:val="Strong"/>
          <w:sz w:val="28"/>
          <w:szCs w:val="28"/>
        </w:rPr>
        <w:t>interact with drugs</w:t>
      </w:r>
    </w:p>
    <w:p w:rsidR="00C67733" w:rsidRPr="00C67733" w:rsidRDefault="00C67733" w:rsidP="00C67733">
      <w:pPr>
        <w:pStyle w:val="NormalWeb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C67733">
        <w:rPr>
          <w:sz w:val="28"/>
          <w:szCs w:val="28"/>
        </w:rPr>
        <w:t xml:space="preserve">Careful selection is required for </w:t>
      </w:r>
      <w:r w:rsidRPr="00C67733">
        <w:rPr>
          <w:rStyle w:val="Strong"/>
          <w:sz w:val="28"/>
          <w:szCs w:val="28"/>
        </w:rPr>
        <w:t>compatibility and safety</w:t>
      </w:r>
    </w:p>
    <w:p w:rsidR="00B06C2F" w:rsidRPr="00C67733" w:rsidRDefault="00B06C2F" w:rsidP="00C67733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DB570F" w:rsidRPr="00782745" w:rsidRDefault="00DB570F" w:rsidP="00D43D7E">
      <w:pPr>
        <w:jc w:val="center"/>
        <w:rPr>
          <w:rFonts w:ascii="Times New Roman" w:hAnsi="Times New Roman" w:cs="Times New Roman"/>
          <w:sz w:val="28"/>
          <w:szCs w:val="24"/>
        </w:rPr>
      </w:pPr>
    </w:p>
    <w:sectPr w:rsidR="00DB570F" w:rsidRPr="00782745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AF5" w:rsidRDefault="00864AF5" w:rsidP="00DB570F">
      <w:pPr>
        <w:spacing w:after="0" w:line="240" w:lineRule="auto"/>
      </w:pPr>
      <w:r>
        <w:separator/>
      </w:r>
    </w:p>
  </w:endnote>
  <w:endnote w:type="continuationSeparator" w:id="0">
    <w:p w:rsidR="00864AF5" w:rsidRDefault="00864AF5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AF5" w:rsidRDefault="00864AF5" w:rsidP="00DB570F">
      <w:pPr>
        <w:spacing w:after="0" w:line="240" w:lineRule="auto"/>
      </w:pPr>
      <w:r>
        <w:separator/>
      </w:r>
    </w:p>
  </w:footnote>
  <w:footnote w:type="continuationSeparator" w:id="0">
    <w:p w:rsidR="00864AF5" w:rsidRDefault="00864AF5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864AF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920925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864AF5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864AF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504EB"/>
    <w:multiLevelType w:val="multilevel"/>
    <w:tmpl w:val="B8C84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07376"/>
    <w:multiLevelType w:val="multilevel"/>
    <w:tmpl w:val="8488D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3254DC"/>
    <w:multiLevelType w:val="multilevel"/>
    <w:tmpl w:val="6A12B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D4677C"/>
    <w:multiLevelType w:val="multilevel"/>
    <w:tmpl w:val="84D0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3D46E3"/>
    <w:multiLevelType w:val="multilevel"/>
    <w:tmpl w:val="7E64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B33BAB"/>
    <w:multiLevelType w:val="multilevel"/>
    <w:tmpl w:val="8768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26112A"/>
    <w:multiLevelType w:val="multilevel"/>
    <w:tmpl w:val="5262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2B2D65"/>
    <w:multiLevelType w:val="multilevel"/>
    <w:tmpl w:val="7FB2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404A4D"/>
    <w:multiLevelType w:val="multilevel"/>
    <w:tmpl w:val="4FB2A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D75486"/>
    <w:multiLevelType w:val="multilevel"/>
    <w:tmpl w:val="C636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25406F"/>
    <w:multiLevelType w:val="multilevel"/>
    <w:tmpl w:val="665AE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7F54E8"/>
    <w:multiLevelType w:val="multilevel"/>
    <w:tmpl w:val="2622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213489"/>
    <w:multiLevelType w:val="multilevel"/>
    <w:tmpl w:val="5A90D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2A6F62"/>
    <w:multiLevelType w:val="multilevel"/>
    <w:tmpl w:val="863E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11782E"/>
    <w:multiLevelType w:val="multilevel"/>
    <w:tmpl w:val="8484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D36447"/>
    <w:multiLevelType w:val="multilevel"/>
    <w:tmpl w:val="8E1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0311BA"/>
    <w:multiLevelType w:val="multilevel"/>
    <w:tmpl w:val="7D88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6"/>
  </w:num>
  <w:num w:numId="3">
    <w:abstractNumId w:val="18"/>
  </w:num>
  <w:num w:numId="4">
    <w:abstractNumId w:val="1"/>
  </w:num>
  <w:num w:numId="5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"/>
  </w:num>
  <w:num w:numId="9">
    <w:abstractNumId w:val="19"/>
  </w:num>
  <w:num w:numId="10">
    <w:abstractNumId w:val="2"/>
  </w:num>
  <w:num w:numId="11">
    <w:abstractNumId w:val="16"/>
  </w:num>
  <w:num w:numId="12">
    <w:abstractNumId w:val="12"/>
  </w:num>
  <w:num w:numId="13">
    <w:abstractNumId w:val="15"/>
  </w:num>
  <w:num w:numId="14">
    <w:abstractNumId w:val="5"/>
  </w:num>
  <w:num w:numId="15">
    <w:abstractNumId w:val="7"/>
  </w:num>
  <w:num w:numId="16">
    <w:abstractNumId w:val="11"/>
  </w:num>
  <w:num w:numId="17">
    <w:abstractNumId w:val="9"/>
  </w:num>
  <w:num w:numId="18">
    <w:abstractNumId w:val="13"/>
  </w:num>
  <w:num w:numId="19">
    <w:abstractNumId w:val="0"/>
  </w:num>
  <w:num w:numId="20">
    <w:abstractNumId w:val="20"/>
  </w:num>
  <w:num w:numId="21">
    <w:abstractNumId w:val="4"/>
  </w:num>
  <w:num w:numId="22">
    <w:abstractNumId w:val="14"/>
  </w:num>
  <w:num w:numId="23">
    <w:abstractNumId w:val="10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827D1"/>
    <w:rsid w:val="00242B5E"/>
    <w:rsid w:val="002C0628"/>
    <w:rsid w:val="00377796"/>
    <w:rsid w:val="004406AC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782745"/>
    <w:rsid w:val="007F2169"/>
    <w:rsid w:val="00864AF5"/>
    <w:rsid w:val="008D61C5"/>
    <w:rsid w:val="008F2DB3"/>
    <w:rsid w:val="00920925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AF3148"/>
    <w:rsid w:val="00B06C2F"/>
    <w:rsid w:val="00B9514D"/>
    <w:rsid w:val="00BA3D19"/>
    <w:rsid w:val="00BC37A9"/>
    <w:rsid w:val="00C30118"/>
    <w:rsid w:val="00C603C6"/>
    <w:rsid w:val="00C67733"/>
    <w:rsid w:val="00C77CD8"/>
    <w:rsid w:val="00D43D7E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7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2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2025-12-24T05:23:00Z</dcterms:created>
  <dcterms:modified xsi:type="dcterms:W3CDTF">2025-12-24T05:23:00Z</dcterms:modified>
</cp:coreProperties>
</file>