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3(INTERFACIAL PHENOMENA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2E01B7">
        <w:rPr>
          <w:rFonts w:ascii="Times New Roman" w:hAnsi="Times New Roman" w:cs="Times New Roman"/>
          <w:sz w:val="24"/>
          <w:szCs w:val="24"/>
        </w:rPr>
        <w:t>26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2E01B7" w:rsidRPr="002E01B7">
        <w:rPr>
          <w:rFonts w:cstheme="minorHAnsi"/>
          <w:b/>
          <w:color w:val="FF0000"/>
          <w:sz w:val="28"/>
          <w:szCs w:val="28"/>
          <w:u w:val="single"/>
        </w:rPr>
        <w:t>SURFACE ACTIVE AGENTS, HLB SCALE</w:t>
      </w:r>
    </w:p>
    <w:bookmarkEnd w:id="0"/>
    <w:p w:rsidR="00B06C2F" w:rsidRDefault="00B06C2F" w:rsidP="002E01B7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2E01B7" w:rsidRPr="002E01B7" w:rsidRDefault="002E01B7" w:rsidP="002E01B7">
      <w:pPr>
        <w:pStyle w:val="NormalWeb"/>
        <w:spacing w:line="360" w:lineRule="auto"/>
        <w:jc w:val="both"/>
        <w:rPr>
          <w:sz w:val="28"/>
        </w:rPr>
      </w:pPr>
      <w:r w:rsidRPr="002E01B7">
        <w:rPr>
          <w:sz w:val="28"/>
        </w:rPr>
        <w:t xml:space="preserve">Surface and interfacial phenomena play a critical role in formulation science, especially in the design of emulsions, suspensions, ointments, creams, and drug delivery systems. The materials responsible for lowering surface and interfacial tension are known as </w:t>
      </w:r>
      <w:r w:rsidRPr="002E01B7">
        <w:rPr>
          <w:rStyle w:val="Strong"/>
          <w:sz w:val="28"/>
        </w:rPr>
        <w:t>surface-active agents</w:t>
      </w:r>
      <w:r w:rsidRPr="002E01B7">
        <w:rPr>
          <w:sz w:val="28"/>
        </w:rPr>
        <w:t xml:space="preserve"> or </w:t>
      </w:r>
      <w:r w:rsidRPr="002E01B7">
        <w:rPr>
          <w:rStyle w:val="Strong"/>
          <w:sz w:val="28"/>
        </w:rPr>
        <w:t>surfactants</w:t>
      </w:r>
      <w:r w:rsidRPr="002E01B7">
        <w:rPr>
          <w:sz w:val="28"/>
        </w:rPr>
        <w:t xml:space="preserve">. Their ability to orient at interfaces helps in stabilizing dispersed systems. To classify these agents based on their solubility behavior in oil and water, a quantitative index called the </w:t>
      </w:r>
      <w:r w:rsidRPr="002E01B7">
        <w:rPr>
          <w:rStyle w:val="Strong"/>
          <w:sz w:val="28"/>
        </w:rPr>
        <w:t>Hydrophilic-Lipophilic Balance (HLB)</w:t>
      </w:r>
      <w:r w:rsidRPr="002E01B7">
        <w:rPr>
          <w:sz w:val="28"/>
        </w:rPr>
        <w:t xml:space="preserve"> scale is employed. The HLB value determines whether a surfactant is suitable for forming oil-in-water (O/W) or water-in-oil (W/O) emulsions and guides formulators in surfactant selection.</w:t>
      </w:r>
    </w:p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2E01B7" w:rsidRPr="002E01B7" w:rsidRDefault="002E01B7" w:rsidP="002E01B7">
      <w:pPr>
        <w:pStyle w:val="Heading2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2E01B7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1. Surface Active Agents (Surfactants)</w:t>
      </w: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t>Definition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t xml:space="preserve">Surface Active Agents (surfactants) are compounds that, when added to a liquid, reduce its surface or interfacial tension. They possess </w:t>
      </w:r>
      <w:r w:rsidRPr="002E01B7">
        <w:rPr>
          <w:rStyle w:val="Strong"/>
          <w:sz w:val="28"/>
        </w:rPr>
        <w:t>both hydrophilic (water-loving)</w:t>
      </w:r>
      <w:r w:rsidRPr="002E01B7">
        <w:rPr>
          <w:sz w:val="28"/>
        </w:rPr>
        <w:t xml:space="preserve"> and </w:t>
      </w:r>
      <w:r w:rsidRPr="002E01B7">
        <w:rPr>
          <w:rStyle w:val="Strong"/>
          <w:sz w:val="28"/>
        </w:rPr>
        <w:t>lipophilic (oil-loving)</w:t>
      </w:r>
      <w:r w:rsidRPr="002E01B7">
        <w:rPr>
          <w:sz w:val="28"/>
        </w:rPr>
        <w:t xml:space="preserve"> groups in their molecular structure, making them amphiphilic.</w:t>
      </w: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lastRenderedPageBreak/>
        <w:t>Structure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t>A typical surfactant molecule has:</w:t>
      </w:r>
    </w:p>
    <w:p w:rsidR="002E01B7" w:rsidRPr="002E01B7" w:rsidRDefault="002E01B7" w:rsidP="002E01B7">
      <w:pPr>
        <w:pStyle w:val="NormalWeb"/>
        <w:numPr>
          <w:ilvl w:val="0"/>
          <w:numId w:val="9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Polar / Hydrophilic Head</w:t>
      </w:r>
      <w:r w:rsidRPr="002E01B7">
        <w:rPr>
          <w:sz w:val="28"/>
        </w:rPr>
        <w:t xml:space="preserve"> – interacts with water</w:t>
      </w:r>
    </w:p>
    <w:p w:rsidR="002E01B7" w:rsidRPr="002E01B7" w:rsidRDefault="002E01B7" w:rsidP="002E01B7">
      <w:pPr>
        <w:pStyle w:val="NormalWeb"/>
        <w:numPr>
          <w:ilvl w:val="0"/>
          <w:numId w:val="9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Non-polar / Hydrophobic Tail</w:t>
      </w:r>
      <w:r w:rsidRPr="002E01B7">
        <w:rPr>
          <w:sz w:val="28"/>
        </w:rPr>
        <w:t xml:space="preserve"> – interacts with oil or nonpolar substances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t>This dual character makes surfactants accumulate at interfaces, causing changes in surface properties.</w:t>
      </w:r>
    </w:p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t>Classification of Surfactants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t>Based on the nature of the hydrophilic group:</w:t>
      </w:r>
    </w:p>
    <w:p w:rsidR="002E01B7" w:rsidRPr="002E01B7" w:rsidRDefault="002E01B7" w:rsidP="002E01B7">
      <w:pPr>
        <w:pStyle w:val="Heading4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2E01B7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1. Anionic Surfactants</w:t>
      </w:r>
    </w:p>
    <w:p w:rsidR="002E01B7" w:rsidRPr="002E01B7" w:rsidRDefault="002E01B7" w:rsidP="002E01B7">
      <w:pPr>
        <w:pStyle w:val="NormalWeb"/>
        <w:numPr>
          <w:ilvl w:val="0"/>
          <w:numId w:val="10"/>
        </w:numPr>
        <w:spacing w:line="360" w:lineRule="auto"/>
        <w:rPr>
          <w:sz w:val="28"/>
        </w:rPr>
      </w:pPr>
      <w:r w:rsidRPr="002E01B7">
        <w:rPr>
          <w:sz w:val="28"/>
        </w:rPr>
        <w:t xml:space="preserve">Carry a </w:t>
      </w:r>
      <w:r w:rsidRPr="002E01B7">
        <w:rPr>
          <w:rStyle w:val="Strong"/>
          <w:sz w:val="28"/>
        </w:rPr>
        <w:t>negative charge</w:t>
      </w:r>
      <w:r w:rsidRPr="002E01B7">
        <w:rPr>
          <w:sz w:val="28"/>
        </w:rPr>
        <w:t xml:space="preserve"> in aqueous solution</w:t>
      </w:r>
    </w:p>
    <w:p w:rsidR="002E01B7" w:rsidRPr="002E01B7" w:rsidRDefault="002E01B7" w:rsidP="002E01B7">
      <w:pPr>
        <w:pStyle w:val="NormalWeb"/>
        <w:numPr>
          <w:ilvl w:val="0"/>
          <w:numId w:val="10"/>
        </w:numPr>
        <w:spacing w:line="360" w:lineRule="auto"/>
        <w:rPr>
          <w:sz w:val="28"/>
        </w:rPr>
      </w:pPr>
      <w:r w:rsidRPr="002E01B7">
        <w:rPr>
          <w:sz w:val="28"/>
        </w:rPr>
        <w:t>Good detergents and wetting agents</w:t>
      </w:r>
    </w:p>
    <w:p w:rsidR="002E01B7" w:rsidRPr="002E01B7" w:rsidRDefault="002E01B7" w:rsidP="002E01B7">
      <w:pPr>
        <w:pStyle w:val="NormalWeb"/>
        <w:numPr>
          <w:ilvl w:val="0"/>
          <w:numId w:val="10"/>
        </w:numPr>
        <w:spacing w:line="360" w:lineRule="auto"/>
        <w:rPr>
          <w:sz w:val="28"/>
        </w:rPr>
      </w:pPr>
      <w:r w:rsidRPr="002E01B7">
        <w:rPr>
          <w:sz w:val="28"/>
        </w:rPr>
        <w:t>Examples: Sodium lauryl sulfate, soaps (sodium stearate)</w:t>
      </w:r>
    </w:p>
    <w:p w:rsidR="002E01B7" w:rsidRPr="002E01B7" w:rsidRDefault="002E01B7" w:rsidP="002E01B7">
      <w:pPr>
        <w:pStyle w:val="Heading4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2E01B7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2. Cationic Surfactants</w:t>
      </w:r>
    </w:p>
    <w:p w:rsidR="002E01B7" w:rsidRPr="002E01B7" w:rsidRDefault="002E01B7" w:rsidP="002E01B7">
      <w:pPr>
        <w:pStyle w:val="NormalWeb"/>
        <w:numPr>
          <w:ilvl w:val="0"/>
          <w:numId w:val="11"/>
        </w:numPr>
        <w:spacing w:line="360" w:lineRule="auto"/>
        <w:rPr>
          <w:sz w:val="28"/>
        </w:rPr>
      </w:pPr>
      <w:r w:rsidRPr="002E01B7">
        <w:rPr>
          <w:sz w:val="28"/>
        </w:rPr>
        <w:t xml:space="preserve">Carry a </w:t>
      </w:r>
      <w:r w:rsidRPr="002E01B7">
        <w:rPr>
          <w:rStyle w:val="Strong"/>
          <w:sz w:val="28"/>
        </w:rPr>
        <w:t>positive charge</w:t>
      </w:r>
    </w:p>
    <w:p w:rsidR="002E01B7" w:rsidRPr="002E01B7" w:rsidRDefault="002E01B7" w:rsidP="002E01B7">
      <w:pPr>
        <w:pStyle w:val="NormalWeb"/>
        <w:numPr>
          <w:ilvl w:val="0"/>
          <w:numId w:val="11"/>
        </w:numPr>
        <w:spacing w:line="360" w:lineRule="auto"/>
        <w:rPr>
          <w:sz w:val="28"/>
        </w:rPr>
      </w:pPr>
      <w:r w:rsidRPr="002E01B7">
        <w:rPr>
          <w:sz w:val="28"/>
        </w:rPr>
        <w:t>Strong antimicrobial properties; used in preservatives and disinfectants</w:t>
      </w:r>
    </w:p>
    <w:p w:rsidR="002E01B7" w:rsidRPr="002E01B7" w:rsidRDefault="002E01B7" w:rsidP="002E01B7">
      <w:pPr>
        <w:pStyle w:val="NormalWeb"/>
        <w:numPr>
          <w:ilvl w:val="0"/>
          <w:numId w:val="11"/>
        </w:numPr>
        <w:spacing w:line="360" w:lineRule="auto"/>
        <w:rPr>
          <w:sz w:val="28"/>
        </w:rPr>
      </w:pPr>
      <w:r w:rsidRPr="002E01B7">
        <w:rPr>
          <w:sz w:val="28"/>
        </w:rPr>
        <w:t>Examples: Benzalkonium chloride, cetyltrimethylammonium bromide</w:t>
      </w:r>
    </w:p>
    <w:p w:rsidR="002E01B7" w:rsidRPr="002E01B7" w:rsidRDefault="002E01B7" w:rsidP="002E01B7">
      <w:pPr>
        <w:pStyle w:val="Heading4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2E01B7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3. Nonionic Surfactants</w:t>
      </w:r>
    </w:p>
    <w:p w:rsidR="002E01B7" w:rsidRPr="002E01B7" w:rsidRDefault="002E01B7" w:rsidP="002E01B7">
      <w:pPr>
        <w:pStyle w:val="NormalWeb"/>
        <w:numPr>
          <w:ilvl w:val="0"/>
          <w:numId w:val="12"/>
        </w:numPr>
        <w:spacing w:line="360" w:lineRule="auto"/>
        <w:rPr>
          <w:sz w:val="28"/>
        </w:rPr>
      </w:pPr>
      <w:r w:rsidRPr="002E01B7">
        <w:rPr>
          <w:sz w:val="28"/>
        </w:rPr>
        <w:t>Do not ionize in solution</w:t>
      </w:r>
    </w:p>
    <w:p w:rsidR="002E01B7" w:rsidRPr="002E01B7" w:rsidRDefault="002E01B7" w:rsidP="002E01B7">
      <w:pPr>
        <w:pStyle w:val="NormalWeb"/>
        <w:numPr>
          <w:ilvl w:val="0"/>
          <w:numId w:val="12"/>
        </w:numPr>
        <w:spacing w:line="360" w:lineRule="auto"/>
        <w:rPr>
          <w:sz w:val="28"/>
        </w:rPr>
      </w:pPr>
      <w:r w:rsidRPr="002E01B7">
        <w:rPr>
          <w:sz w:val="28"/>
        </w:rPr>
        <w:lastRenderedPageBreak/>
        <w:t>Compatible with most drugs and stable over a wide pH range</w:t>
      </w:r>
    </w:p>
    <w:p w:rsidR="002E01B7" w:rsidRPr="002E01B7" w:rsidRDefault="002E01B7" w:rsidP="002E01B7">
      <w:pPr>
        <w:pStyle w:val="NormalWeb"/>
        <w:numPr>
          <w:ilvl w:val="0"/>
          <w:numId w:val="12"/>
        </w:numPr>
        <w:spacing w:line="360" w:lineRule="auto"/>
        <w:rPr>
          <w:sz w:val="28"/>
        </w:rPr>
      </w:pPr>
      <w:r w:rsidRPr="002E01B7">
        <w:rPr>
          <w:sz w:val="28"/>
        </w:rPr>
        <w:t>Examples: Tweens (Polysorbates), Spans (Sorbitan esters)</w:t>
      </w:r>
    </w:p>
    <w:p w:rsidR="002E01B7" w:rsidRPr="002E01B7" w:rsidRDefault="002E01B7" w:rsidP="002E01B7">
      <w:pPr>
        <w:pStyle w:val="Heading4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2E01B7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4. Amphoteric (Zwitterionic) Surfactants</w:t>
      </w:r>
    </w:p>
    <w:p w:rsidR="002E01B7" w:rsidRPr="002E01B7" w:rsidRDefault="002E01B7" w:rsidP="002E01B7">
      <w:pPr>
        <w:pStyle w:val="NormalWeb"/>
        <w:numPr>
          <w:ilvl w:val="0"/>
          <w:numId w:val="13"/>
        </w:numPr>
        <w:spacing w:line="360" w:lineRule="auto"/>
        <w:rPr>
          <w:sz w:val="28"/>
        </w:rPr>
      </w:pPr>
      <w:r w:rsidRPr="002E01B7">
        <w:rPr>
          <w:sz w:val="28"/>
        </w:rPr>
        <w:t>Contain both positive and negative charges</w:t>
      </w:r>
    </w:p>
    <w:p w:rsidR="002E01B7" w:rsidRPr="002E01B7" w:rsidRDefault="002E01B7" w:rsidP="002E01B7">
      <w:pPr>
        <w:pStyle w:val="NormalWeb"/>
        <w:numPr>
          <w:ilvl w:val="0"/>
          <w:numId w:val="13"/>
        </w:numPr>
        <w:spacing w:line="360" w:lineRule="auto"/>
        <w:rPr>
          <w:sz w:val="28"/>
        </w:rPr>
      </w:pPr>
      <w:r w:rsidRPr="002E01B7">
        <w:rPr>
          <w:sz w:val="28"/>
        </w:rPr>
        <w:t>Exhibit excellent compatibility and mildness</w:t>
      </w:r>
    </w:p>
    <w:p w:rsidR="002E01B7" w:rsidRPr="002E01B7" w:rsidRDefault="002E01B7" w:rsidP="002E01B7">
      <w:pPr>
        <w:pStyle w:val="NormalWeb"/>
        <w:numPr>
          <w:ilvl w:val="0"/>
          <w:numId w:val="13"/>
        </w:numPr>
        <w:spacing w:line="360" w:lineRule="auto"/>
        <w:rPr>
          <w:sz w:val="28"/>
        </w:rPr>
      </w:pPr>
      <w:r w:rsidRPr="002E01B7">
        <w:rPr>
          <w:sz w:val="28"/>
        </w:rPr>
        <w:t>Example: Lecithin, betaines</w:t>
      </w:r>
    </w:p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t>Functions of Surfactants in Pharmacy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t>Surfactants perform multiple physicochemical functions:</w:t>
      </w:r>
    </w:p>
    <w:p w:rsidR="002E01B7" w:rsidRPr="002E01B7" w:rsidRDefault="002E01B7" w:rsidP="002E01B7">
      <w:pPr>
        <w:pStyle w:val="NormalWeb"/>
        <w:numPr>
          <w:ilvl w:val="0"/>
          <w:numId w:val="14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Emulsification</w:t>
      </w:r>
      <w:r w:rsidRPr="002E01B7">
        <w:rPr>
          <w:sz w:val="28"/>
        </w:rPr>
        <w:t xml:space="preserve"> – Stabilizing emulsions by lowering interfacial tension</w:t>
      </w:r>
    </w:p>
    <w:p w:rsidR="002E01B7" w:rsidRPr="002E01B7" w:rsidRDefault="002E01B7" w:rsidP="002E01B7">
      <w:pPr>
        <w:pStyle w:val="NormalWeb"/>
        <w:numPr>
          <w:ilvl w:val="0"/>
          <w:numId w:val="14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Wetting</w:t>
      </w:r>
      <w:r w:rsidRPr="002E01B7">
        <w:rPr>
          <w:sz w:val="28"/>
        </w:rPr>
        <w:t xml:space="preserve"> – Enhancing contact between solids and liquids</w:t>
      </w:r>
    </w:p>
    <w:p w:rsidR="002E01B7" w:rsidRPr="002E01B7" w:rsidRDefault="002E01B7" w:rsidP="002E01B7">
      <w:pPr>
        <w:pStyle w:val="NormalWeb"/>
        <w:numPr>
          <w:ilvl w:val="0"/>
          <w:numId w:val="14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Solubilization</w:t>
      </w:r>
      <w:r w:rsidRPr="002E01B7">
        <w:rPr>
          <w:sz w:val="28"/>
        </w:rPr>
        <w:t xml:space="preserve"> – Increasing solubility of poorly soluble drugs via micelle formation</w:t>
      </w:r>
    </w:p>
    <w:p w:rsidR="002E01B7" w:rsidRPr="002E01B7" w:rsidRDefault="002E01B7" w:rsidP="002E01B7">
      <w:pPr>
        <w:pStyle w:val="NormalWeb"/>
        <w:numPr>
          <w:ilvl w:val="0"/>
          <w:numId w:val="14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Foaming/Defoaming</w:t>
      </w:r>
      <w:r w:rsidRPr="002E01B7">
        <w:rPr>
          <w:sz w:val="28"/>
        </w:rPr>
        <w:t xml:space="preserve"> – Used in shampoos, aerosols, and antifoaming agents</w:t>
      </w:r>
    </w:p>
    <w:p w:rsidR="002E01B7" w:rsidRPr="002E01B7" w:rsidRDefault="002E01B7" w:rsidP="002E01B7">
      <w:pPr>
        <w:pStyle w:val="NormalWeb"/>
        <w:numPr>
          <w:ilvl w:val="0"/>
          <w:numId w:val="14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Detergency</w:t>
      </w:r>
      <w:r w:rsidRPr="002E01B7">
        <w:rPr>
          <w:sz w:val="28"/>
        </w:rPr>
        <w:t xml:space="preserve"> – Removing dirt and debris</w:t>
      </w:r>
    </w:p>
    <w:p w:rsidR="002E01B7" w:rsidRPr="002E01B7" w:rsidRDefault="002E01B7" w:rsidP="002E01B7">
      <w:pPr>
        <w:pStyle w:val="NormalWeb"/>
        <w:numPr>
          <w:ilvl w:val="0"/>
          <w:numId w:val="14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Suspension stabilization</w:t>
      </w:r>
      <w:r w:rsidRPr="002E01B7">
        <w:rPr>
          <w:sz w:val="28"/>
        </w:rPr>
        <w:t xml:space="preserve"> – Preventing aggregation of particles</w:t>
      </w:r>
    </w:p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2E01B7" w:rsidRPr="002E01B7" w:rsidRDefault="002E01B7" w:rsidP="002E01B7">
      <w:pPr>
        <w:pStyle w:val="Heading2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2E01B7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2. Hydrophilic-Lipophilic Balance (HLB) Scale</w:t>
      </w: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t>Definition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lastRenderedPageBreak/>
        <w:t xml:space="preserve">The </w:t>
      </w:r>
      <w:r w:rsidRPr="002E01B7">
        <w:rPr>
          <w:rStyle w:val="Strong"/>
          <w:sz w:val="28"/>
        </w:rPr>
        <w:t>HLB Scale</w:t>
      </w:r>
      <w:r w:rsidRPr="002E01B7">
        <w:rPr>
          <w:sz w:val="28"/>
        </w:rPr>
        <w:t xml:space="preserve"> is a numerical system developed by Griffin that indicates the degree to which a surfactant is hydrophilic or lipophilic. It ranges from </w:t>
      </w:r>
      <w:r w:rsidRPr="002E01B7">
        <w:rPr>
          <w:rStyle w:val="Strong"/>
          <w:sz w:val="28"/>
        </w:rPr>
        <w:t>0 to 40</w:t>
      </w:r>
      <w:r w:rsidRPr="002E01B7">
        <w:rPr>
          <w:sz w:val="28"/>
        </w:rPr>
        <w:t>, helping formulators determine the best surfactant for a specific application, particularly in emulsions.</w:t>
      </w:r>
    </w:p>
    <w:p w:rsidR="002E01B7" w:rsidRPr="002E01B7" w:rsidRDefault="002E01B7" w:rsidP="002E01B7">
      <w:pPr>
        <w:pStyle w:val="NormalWeb"/>
        <w:numPr>
          <w:ilvl w:val="0"/>
          <w:numId w:val="15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Low HLB value</w:t>
      </w:r>
      <w:r w:rsidRPr="002E01B7">
        <w:rPr>
          <w:sz w:val="28"/>
        </w:rPr>
        <w:t xml:space="preserve"> → Lipophilic nature, favors </w:t>
      </w:r>
      <w:r w:rsidRPr="002E01B7">
        <w:rPr>
          <w:rStyle w:val="Strong"/>
          <w:sz w:val="28"/>
        </w:rPr>
        <w:t>W/O emulsions</w:t>
      </w:r>
    </w:p>
    <w:p w:rsidR="002E01B7" w:rsidRPr="002E01B7" w:rsidRDefault="002E01B7" w:rsidP="002E01B7">
      <w:pPr>
        <w:pStyle w:val="NormalWeb"/>
        <w:numPr>
          <w:ilvl w:val="0"/>
          <w:numId w:val="15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High HLB value</w:t>
      </w:r>
      <w:r w:rsidRPr="002E01B7">
        <w:rPr>
          <w:sz w:val="28"/>
        </w:rPr>
        <w:t xml:space="preserve"> → Hydrophilic nature, favors </w:t>
      </w:r>
      <w:r w:rsidRPr="002E01B7">
        <w:rPr>
          <w:rStyle w:val="Strong"/>
          <w:sz w:val="28"/>
        </w:rPr>
        <w:t>O/W emulsions</w:t>
      </w:r>
    </w:p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t>HLB Value Interpretation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2292"/>
      </w:tblGrid>
      <w:tr w:rsidR="002E01B7" w:rsidRPr="002E01B7" w:rsidTr="002E01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E01B7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HLB Range</w:t>
            </w:r>
          </w:p>
        </w:tc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E01B7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Role of Surfactant</w:t>
            </w:r>
          </w:p>
        </w:tc>
      </w:tr>
      <w:tr w:rsidR="002E01B7" w:rsidRPr="002E01B7" w:rsidTr="002E01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1 – 3</w:t>
            </w:r>
          </w:p>
        </w:tc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Antifoaming agents</w:t>
            </w:r>
          </w:p>
        </w:tc>
      </w:tr>
      <w:tr w:rsidR="002E01B7" w:rsidRPr="002E01B7" w:rsidTr="002E01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3 – 6</w:t>
            </w:r>
          </w:p>
        </w:tc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W/O emulsifiers</w:t>
            </w:r>
          </w:p>
        </w:tc>
      </w:tr>
      <w:tr w:rsidR="002E01B7" w:rsidRPr="002E01B7" w:rsidTr="002E01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7 – 9</w:t>
            </w:r>
          </w:p>
        </w:tc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Wetting agents</w:t>
            </w:r>
          </w:p>
        </w:tc>
      </w:tr>
      <w:tr w:rsidR="002E01B7" w:rsidRPr="002E01B7" w:rsidTr="002E01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8 – 12</w:t>
            </w:r>
          </w:p>
        </w:tc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O/W emulsifiers</w:t>
            </w:r>
          </w:p>
        </w:tc>
      </w:tr>
      <w:tr w:rsidR="002E01B7" w:rsidRPr="002E01B7" w:rsidTr="002E01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12 – 16</w:t>
            </w:r>
          </w:p>
        </w:tc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Detergents</w:t>
            </w:r>
          </w:p>
        </w:tc>
      </w:tr>
      <w:tr w:rsidR="002E01B7" w:rsidRPr="002E01B7" w:rsidTr="002E01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15 – 18</w:t>
            </w:r>
          </w:p>
        </w:tc>
        <w:tc>
          <w:tcPr>
            <w:tcW w:w="0" w:type="auto"/>
            <w:vAlign w:val="center"/>
            <w:hideMark/>
          </w:tcPr>
          <w:p w:rsidR="002E01B7" w:rsidRPr="002E01B7" w:rsidRDefault="002E01B7" w:rsidP="002E01B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E01B7">
              <w:rPr>
                <w:rFonts w:ascii="Times New Roman" w:hAnsi="Times New Roman" w:cs="Times New Roman"/>
                <w:sz w:val="28"/>
                <w:szCs w:val="24"/>
              </w:rPr>
              <w:t>Solubilizing agents</w:t>
            </w:r>
          </w:p>
        </w:tc>
      </w:tr>
    </w:tbl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t>Calculation of HLB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t>For nonionic surfactants (Griffin’s method):</w:t>
      </w:r>
    </w:p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2E01B7">
        <w:rPr>
          <w:rStyle w:val="katex-mathml"/>
          <w:rFonts w:ascii="Times New Roman" w:hAnsi="Times New Roman" w:cs="Times New Roman"/>
          <w:sz w:val="28"/>
          <w:szCs w:val="24"/>
        </w:rPr>
        <w:lastRenderedPageBreak/>
        <w:t>HLB=20×MHMHLB = \frac{20 \times M_H}{M}</w:t>
      </w:r>
      <w:r w:rsidRPr="002E01B7">
        <w:rPr>
          <w:rStyle w:val="mord"/>
          <w:rFonts w:ascii="Times New Roman" w:hAnsi="Times New Roman" w:cs="Times New Roman"/>
          <w:sz w:val="28"/>
          <w:szCs w:val="24"/>
        </w:rPr>
        <w:t>HLB</w:t>
      </w:r>
      <w:r w:rsidRPr="002E01B7">
        <w:rPr>
          <w:rStyle w:val="mrel"/>
          <w:rFonts w:ascii="Times New Roman" w:hAnsi="Times New Roman" w:cs="Times New Roman"/>
          <w:sz w:val="28"/>
          <w:szCs w:val="24"/>
        </w:rPr>
        <w:t>=</w:t>
      </w:r>
      <w:r w:rsidRPr="002E01B7">
        <w:rPr>
          <w:rStyle w:val="mord"/>
          <w:rFonts w:ascii="Times New Roman" w:hAnsi="Times New Roman" w:cs="Times New Roman"/>
          <w:sz w:val="28"/>
          <w:szCs w:val="24"/>
        </w:rPr>
        <w:t>M20</w:t>
      </w:r>
      <w:r w:rsidRPr="002E01B7">
        <w:rPr>
          <w:rStyle w:val="mbin"/>
          <w:rFonts w:ascii="Times New Roman" w:hAnsi="Times New Roman" w:cs="Times New Roman"/>
          <w:sz w:val="28"/>
          <w:szCs w:val="24"/>
        </w:rPr>
        <w:t>×</w:t>
      </w:r>
      <w:r w:rsidRPr="002E01B7">
        <w:rPr>
          <w:rStyle w:val="mord"/>
          <w:rFonts w:ascii="Times New Roman" w:hAnsi="Times New Roman" w:cs="Times New Roman"/>
          <w:sz w:val="28"/>
          <w:szCs w:val="24"/>
        </w:rPr>
        <w:t>MH</w:t>
      </w:r>
      <w:r w:rsidRPr="002E01B7">
        <w:rPr>
          <w:rStyle w:val="vlist-s"/>
          <w:rFonts w:ascii="Times New Roman" w:hAnsi="Times New Roman" w:cs="Times New Roman"/>
          <w:sz w:val="28"/>
          <w:szCs w:val="24"/>
        </w:rPr>
        <w:t>​​</w:t>
      </w:r>
      <w:r w:rsidRPr="002E01B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t>Where:</w:t>
      </w:r>
    </w:p>
    <w:p w:rsidR="002E01B7" w:rsidRPr="002E01B7" w:rsidRDefault="002E01B7" w:rsidP="002E01B7">
      <w:pPr>
        <w:pStyle w:val="NormalWeb"/>
        <w:numPr>
          <w:ilvl w:val="0"/>
          <w:numId w:val="16"/>
        </w:numPr>
        <w:spacing w:line="360" w:lineRule="auto"/>
        <w:rPr>
          <w:sz w:val="28"/>
        </w:rPr>
      </w:pPr>
      <w:r w:rsidRPr="002E01B7">
        <w:rPr>
          <w:rStyle w:val="katex-mathml"/>
          <w:rFonts w:eastAsiaTheme="majorEastAsia"/>
          <w:sz w:val="28"/>
        </w:rPr>
        <w:t>MHM_H</w:t>
      </w:r>
      <w:r w:rsidRPr="002E01B7">
        <w:rPr>
          <w:rStyle w:val="mord"/>
          <w:sz w:val="28"/>
        </w:rPr>
        <w:t>MH</w:t>
      </w:r>
      <w:r w:rsidRPr="002E01B7">
        <w:rPr>
          <w:rStyle w:val="vlist-s"/>
          <w:sz w:val="28"/>
        </w:rPr>
        <w:t>​</w:t>
      </w:r>
      <w:r w:rsidRPr="002E01B7">
        <w:rPr>
          <w:sz w:val="28"/>
        </w:rPr>
        <w:t xml:space="preserve"> = Molecular mass of hydrophilic part</w:t>
      </w:r>
    </w:p>
    <w:p w:rsidR="002E01B7" w:rsidRPr="002E01B7" w:rsidRDefault="002E01B7" w:rsidP="002E01B7">
      <w:pPr>
        <w:pStyle w:val="NormalWeb"/>
        <w:numPr>
          <w:ilvl w:val="0"/>
          <w:numId w:val="16"/>
        </w:numPr>
        <w:spacing w:line="360" w:lineRule="auto"/>
        <w:rPr>
          <w:sz w:val="28"/>
        </w:rPr>
      </w:pPr>
      <w:r w:rsidRPr="002E01B7">
        <w:rPr>
          <w:rStyle w:val="katex-mathml"/>
          <w:rFonts w:eastAsiaTheme="majorEastAsia"/>
          <w:sz w:val="28"/>
        </w:rPr>
        <w:t>MM</w:t>
      </w:r>
      <w:r w:rsidRPr="002E01B7">
        <w:rPr>
          <w:rStyle w:val="mord"/>
          <w:sz w:val="28"/>
        </w:rPr>
        <w:t>M</w:t>
      </w:r>
      <w:r w:rsidRPr="002E01B7">
        <w:rPr>
          <w:sz w:val="28"/>
        </w:rPr>
        <w:t xml:space="preserve"> = Molecular mass of the surfactant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t>HLB values can also be estimated using Davies’ method, considering individual group contributions.</w:t>
      </w:r>
    </w:p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t>Importance of HLB in Formulation</w:t>
      </w:r>
    </w:p>
    <w:p w:rsidR="002E01B7" w:rsidRPr="002E01B7" w:rsidRDefault="002E01B7" w:rsidP="002E01B7">
      <w:pPr>
        <w:pStyle w:val="NormalWeb"/>
        <w:numPr>
          <w:ilvl w:val="0"/>
          <w:numId w:val="17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Emulsion Stability</w:t>
      </w:r>
      <w:r w:rsidRPr="002E01B7">
        <w:rPr>
          <w:sz w:val="28"/>
        </w:rPr>
        <w:br/>
        <w:t>Emulsifiers with appropriate HLB value stabilize droplets and prevent coalescence.</w:t>
      </w:r>
    </w:p>
    <w:p w:rsidR="002E01B7" w:rsidRPr="002E01B7" w:rsidRDefault="002E01B7" w:rsidP="002E01B7">
      <w:pPr>
        <w:pStyle w:val="NormalWeb"/>
        <w:numPr>
          <w:ilvl w:val="0"/>
          <w:numId w:val="17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Selection of Surfactants</w:t>
      </w:r>
      <w:r w:rsidRPr="002E01B7">
        <w:rPr>
          <w:sz w:val="28"/>
        </w:rPr>
        <w:br/>
        <w:t>Helps formulators choose correct surfactants for creams, lotions, and ointments.</w:t>
      </w:r>
    </w:p>
    <w:p w:rsidR="002E01B7" w:rsidRPr="002E01B7" w:rsidRDefault="002E01B7" w:rsidP="002E01B7">
      <w:pPr>
        <w:pStyle w:val="NormalWeb"/>
        <w:numPr>
          <w:ilvl w:val="0"/>
          <w:numId w:val="17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Required HLB</w:t>
      </w:r>
      <w:r w:rsidRPr="002E01B7">
        <w:rPr>
          <w:sz w:val="28"/>
        </w:rPr>
        <w:br/>
        <w:t>Oils have specific HLB requirements. Blending surfactants to reach the required HLB ensures successful emulsion formation.</w:t>
      </w:r>
    </w:p>
    <w:p w:rsidR="002E01B7" w:rsidRPr="002E01B7" w:rsidRDefault="002E01B7" w:rsidP="002E01B7">
      <w:pPr>
        <w:pStyle w:val="NormalWeb"/>
        <w:numPr>
          <w:ilvl w:val="0"/>
          <w:numId w:val="17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Compatibility and Optimization</w:t>
      </w:r>
      <w:r w:rsidRPr="002E01B7">
        <w:rPr>
          <w:sz w:val="28"/>
        </w:rPr>
        <w:br/>
        <w:t>Mixtures of surfactants with different HLB values yield stable formulations.</w:t>
      </w:r>
    </w:p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t>Applications of HLB System</w:t>
      </w:r>
    </w:p>
    <w:p w:rsidR="002E01B7" w:rsidRPr="002E01B7" w:rsidRDefault="002E01B7" w:rsidP="002E01B7">
      <w:pPr>
        <w:pStyle w:val="NormalWeb"/>
        <w:numPr>
          <w:ilvl w:val="0"/>
          <w:numId w:val="18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lastRenderedPageBreak/>
        <w:t>Creams and lotions</w:t>
      </w:r>
      <w:r w:rsidRPr="002E01B7">
        <w:rPr>
          <w:sz w:val="28"/>
        </w:rPr>
        <w:t xml:space="preserve"> – O/W emulsions use hydrophilic surfactants like Tweens</w:t>
      </w:r>
    </w:p>
    <w:p w:rsidR="002E01B7" w:rsidRPr="002E01B7" w:rsidRDefault="002E01B7" w:rsidP="002E01B7">
      <w:pPr>
        <w:pStyle w:val="NormalWeb"/>
        <w:numPr>
          <w:ilvl w:val="0"/>
          <w:numId w:val="18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Ointments and cosmetics</w:t>
      </w:r>
      <w:r w:rsidRPr="002E01B7">
        <w:rPr>
          <w:sz w:val="28"/>
        </w:rPr>
        <w:t xml:space="preserve"> – W/O emulsions require lipophilic surfactants like Spans</w:t>
      </w:r>
    </w:p>
    <w:p w:rsidR="002E01B7" w:rsidRPr="002E01B7" w:rsidRDefault="002E01B7" w:rsidP="002E01B7">
      <w:pPr>
        <w:pStyle w:val="NormalWeb"/>
        <w:numPr>
          <w:ilvl w:val="0"/>
          <w:numId w:val="18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Solubilizing hydrophobic drugs</w:t>
      </w:r>
      <w:r w:rsidRPr="002E01B7">
        <w:rPr>
          <w:sz w:val="28"/>
        </w:rPr>
        <w:t xml:space="preserve"> using high HLB surfactants</w:t>
      </w:r>
    </w:p>
    <w:p w:rsidR="002E01B7" w:rsidRPr="002E01B7" w:rsidRDefault="002E01B7" w:rsidP="002E01B7">
      <w:pPr>
        <w:pStyle w:val="NormalWeb"/>
        <w:numPr>
          <w:ilvl w:val="0"/>
          <w:numId w:val="18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Suspension wetting</w:t>
      </w:r>
      <w:r w:rsidRPr="002E01B7">
        <w:rPr>
          <w:sz w:val="28"/>
        </w:rPr>
        <w:t xml:space="preserve"> – Surfactants reduce contact angle and improve wetting</w:t>
      </w:r>
    </w:p>
    <w:p w:rsidR="002E01B7" w:rsidRPr="002E01B7" w:rsidRDefault="002E01B7" w:rsidP="002E01B7">
      <w:pPr>
        <w:pStyle w:val="NormalWeb"/>
        <w:numPr>
          <w:ilvl w:val="0"/>
          <w:numId w:val="18"/>
        </w:numPr>
        <w:spacing w:line="360" w:lineRule="auto"/>
        <w:rPr>
          <w:sz w:val="28"/>
        </w:rPr>
      </w:pPr>
      <w:r w:rsidRPr="002E01B7">
        <w:rPr>
          <w:rStyle w:val="Strong"/>
          <w:sz w:val="28"/>
        </w:rPr>
        <w:t>Aerosols and foams</w:t>
      </w:r>
      <w:r w:rsidRPr="002E01B7">
        <w:rPr>
          <w:sz w:val="28"/>
        </w:rPr>
        <w:t xml:space="preserve"> – Control foam formation using specific HLB agents</w:t>
      </w:r>
    </w:p>
    <w:p w:rsidR="002E01B7" w:rsidRPr="002E01B7" w:rsidRDefault="002E01B7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2E01B7" w:rsidRPr="002E01B7" w:rsidRDefault="002E01B7" w:rsidP="002E01B7">
      <w:pPr>
        <w:pStyle w:val="Heading3"/>
        <w:spacing w:line="360" w:lineRule="auto"/>
        <w:rPr>
          <w:sz w:val="28"/>
          <w:szCs w:val="24"/>
        </w:rPr>
      </w:pPr>
      <w:r w:rsidRPr="002E01B7">
        <w:rPr>
          <w:rStyle w:val="Strong"/>
          <w:b/>
          <w:bCs/>
          <w:sz w:val="28"/>
          <w:szCs w:val="24"/>
        </w:rPr>
        <w:t>Significance</w:t>
      </w:r>
    </w:p>
    <w:p w:rsidR="002E01B7" w:rsidRPr="002E01B7" w:rsidRDefault="002E01B7" w:rsidP="002E01B7">
      <w:pPr>
        <w:pStyle w:val="NormalWeb"/>
        <w:spacing w:line="360" w:lineRule="auto"/>
        <w:rPr>
          <w:sz w:val="28"/>
        </w:rPr>
      </w:pPr>
      <w:r w:rsidRPr="002E01B7">
        <w:rPr>
          <w:sz w:val="28"/>
        </w:rPr>
        <w:t>The HLB system simplifies surfactant selection by assigning numeric values representing their affinity toward oil or water. This prevents experimental trial-and-error, reduces formulation failures, and increases the stability and efficiency of pharmaceutical preparations.</w:t>
      </w:r>
    </w:p>
    <w:p w:rsidR="00DB570F" w:rsidRPr="002E01B7" w:rsidRDefault="00DB570F" w:rsidP="002E01B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sectPr w:rsidR="00DB570F" w:rsidRPr="002E01B7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488" w:rsidRDefault="003A1488" w:rsidP="00DB570F">
      <w:pPr>
        <w:spacing w:after="0" w:line="240" w:lineRule="auto"/>
      </w:pPr>
      <w:r>
        <w:separator/>
      </w:r>
    </w:p>
  </w:endnote>
  <w:endnote w:type="continuationSeparator" w:id="0">
    <w:p w:rsidR="003A1488" w:rsidRDefault="003A1488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488" w:rsidRDefault="003A1488" w:rsidP="00DB570F">
      <w:pPr>
        <w:spacing w:after="0" w:line="240" w:lineRule="auto"/>
      </w:pPr>
      <w:r>
        <w:separator/>
      </w:r>
    </w:p>
  </w:footnote>
  <w:footnote w:type="continuationSeparator" w:id="0">
    <w:p w:rsidR="003A1488" w:rsidRDefault="003A1488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3A148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2E01B7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3A1488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3A148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51CB4"/>
    <w:multiLevelType w:val="multilevel"/>
    <w:tmpl w:val="D38A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253E4"/>
    <w:multiLevelType w:val="multilevel"/>
    <w:tmpl w:val="5164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27CEF"/>
    <w:multiLevelType w:val="multilevel"/>
    <w:tmpl w:val="74B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002C6"/>
    <w:multiLevelType w:val="multilevel"/>
    <w:tmpl w:val="20B6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84AA0"/>
    <w:multiLevelType w:val="multilevel"/>
    <w:tmpl w:val="51D00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3233B4"/>
    <w:multiLevelType w:val="multilevel"/>
    <w:tmpl w:val="7694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421A66"/>
    <w:multiLevelType w:val="multilevel"/>
    <w:tmpl w:val="C73E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1F50AE"/>
    <w:multiLevelType w:val="multilevel"/>
    <w:tmpl w:val="E4FE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C6F48"/>
    <w:multiLevelType w:val="multilevel"/>
    <w:tmpl w:val="E22C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138DE"/>
    <w:multiLevelType w:val="multilevel"/>
    <w:tmpl w:val="B9D0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0"/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11"/>
  </w:num>
  <w:num w:numId="12">
    <w:abstractNumId w:val="10"/>
  </w:num>
  <w:num w:numId="13">
    <w:abstractNumId w:val="5"/>
  </w:num>
  <w:num w:numId="14">
    <w:abstractNumId w:val="2"/>
  </w:num>
  <w:num w:numId="15">
    <w:abstractNumId w:val="7"/>
  </w:num>
  <w:num w:numId="16">
    <w:abstractNumId w:val="1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242B5E"/>
    <w:rsid w:val="002C0628"/>
    <w:rsid w:val="002E01B7"/>
    <w:rsid w:val="00377796"/>
    <w:rsid w:val="003A1488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1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1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1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2E01B7"/>
  </w:style>
  <w:style w:type="character" w:customStyle="1" w:styleId="mord">
    <w:name w:val="mord"/>
    <w:basedOn w:val="DefaultParagraphFont"/>
    <w:rsid w:val="002E01B7"/>
  </w:style>
  <w:style w:type="character" w:customStyle="1" w:styleId="mrel">
    <w:name w:val="mrel"/>
    <w:basedOn w:val="DefaultParagraphFont"/>
    <w:rsid w:val="002E01B7"/>
  </w:style>
  <w:style w:type="character" w:customStyle="1" w:styleId="mbin">
    <w:name w:val="mbin"/>
    <w:basedOn w:val="DefaultParagraphFont"/>
    <w:rsid w:val="002E01B7"/>
  </w:style>
  <w:style w:type="character" w:customStyle="1" w:styleId="vlist-s">
    <w:name w:val="vlist-s"/>
    <w:basedOn w:val="DefaultParagraphFont"/>
    <w:rsid w:val="002E0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2025-11-28T04:58:00Z</dcterms:created>
  <dcterms:modified xsi:type="dcterms:W3CDTF">2025-11-28T04:58:00Z</dcterms:modified>
</cp:coreProperties>
</file>