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3(INTERFACIAL PHENOMENA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A856FB">
        <w:rPr>
          <w:rFonts w:ascii="Times New Roman" w:hAnsi="Times New Roman" w:cs="Times New Roman"/>
          <w:sz w:val="24"/>
          <w:szCs w:val="24"/>
        </w:rPr>
        <w:t>25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A856FB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A856FB" w:rsidRPr="00A856FB">
        <w:rPr>
          <w:rFonts w:cstheme="minorHAnsi"/>
          <w:b/>
          <w:color w:val="FF0000"/>
          <w:sz w:val="28"/>
          <w:szCs w:val="28"/>
          <w:u w:val="single"/>
        </w:rPr>
        <w:t>ADSORPTION AT LIQUID INTERFACES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Adsorption is a surface phenomenon in which molecules from a gas or liquid accumulate at the surface or interface rather than in the bulk. When adsorption occurs specifically at the boundary between two immiscible phases, such as </w:t>
      </w:r>
      <w:r w:rsidRPr="00A856FB">
        <w:rPr>
          <w:rStyle w:val="Strong"/>
          <w:sz w:val="28"/>
        </w:rPr>
        <w:t>liquid–air</w:t>
      </w:r>
      <w:r w:rsidRPr="00A856FB">
        <w:rPr>
          <w:sz w:val="28"/>
        </w:rPr>
        <w:t xml:space="preserve"> or </w:t>
      </w:r>
      <w:r w:rsidRPr="00A856FB">
        <w:rPr>
          <w:rStyle w:val="Strong"/>
          <w:sz w:val="28"/>
        </w:rPr>
        <w:t>liquid–liquid</w:t>
      </w:r>
      <w:r w:rsidRPr="00A856FB">
        <w:rPr>
          <w:sz w:val="28"/>
        </w:rPr>
        <w:t xml:space="preserve">, it is termed </w:t>
      </w:r>
      <w:r w:rsidRPr="00A856FB">
        <w:rPr>
          <w:rStyle w:val="Strong"/>
          <w:sz w:val="28"/>
        </w:rPr>
        <w:t>adsorption at liquid interfaces</w:t>
      </w:r>
      <w:r w:rsidRPr="00A856FB">
        <w:rPr>
          <w:sz w:val="28"/>
        </w:rPr>
        <w:t>. This process plays a vital role in many physicochemical and pharmaceutical applications, including emulsification, detergency, wetting, stabilization of foams, and drug delivery systems.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Concept of Adsorption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In the bulk phase of a liquid, molecules experience </w:t>
      </w:r>
      <w:r w:rsidRPr="00A856FB">
        <w:rPr>
          <w:rStyle w:val="Strong"/>
          <w:sz w:val="28"/>
        </w:rPr>
        <w:t>balanced cohesive forces</w:t>
      </w:r>
      <w:r w:rsidRPr="00A856FB">
        <w:rPr>
          <w:sz w:val="28"/>
        </w:rPr>
        <w:t xml:space="preserve"> from all directions. However, at the surface or interface, molecules face </w:t>
      </w:r>
      <w:r w:rsidRPr="00A856FB">
        <w:rPr>
          <w:rStyle w:val="Strong"/>
          <w:sz w:val="28"/>
        </w:rPr>
        <w:t>unbalanced molecular forces</w:t>
      </w:r>
      <w:r w:rsidRPr="00A856FB">
        <w:rPr>
          <w:sz w:val="28"/>
        </w:rPr>
        <w:t xml:space="preserve">, making these positions energetically unfavorable. To reduce surface free energy, the system tends to attract and accumulate certain molecules at the interface. This preferential accumulation is called </w:t>
      </w:r>
      <w:r w:rsidRPr="00A856FB">
        <w:rPr>
          <w:rStyle w:val="Strong"/>
          <w:sz w:val="28"/>
        </w:rPr>
        <w:t>adsorption</w:t>
      </w:r>
      <w:r w:rsidRPr="00A856FB">
        <w:rPr>
          <w:sz w:val="28"/>
        </w:rPr>
        <w:t>.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There are two types of adsorption with respect to liquid interfaces:</w:t>
      </w:r>
    </w:p>
    <w:p w:rsidR="00A856FB" w:rsidRPr="00A856FB" w:rsidRDefault="00A856FB" w:rsidP="00A856FB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lastRenderedPageBreak/>
        <w:t>Positive Adsorption</w:t>
      </w:r>
      <w:r w:rsidRPr="00A856FB">
        <w:rPr>
          <w:sz w:val="28"/>
        </w:rPr>
        <w:t xml:space="preserve"> – Solute molecules accumulate at the interface, decreasing surface tension.</w:t>
      </w:r>
    </w:p>
    <w:p w:rsidR="00A856FB" w:rsidRPr="00A856FB" w:rsidRDefault="00A856FB" w:rsidP="00A856FB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Negative Adsorption</w:t>
      </w:r>
      <w:r w:rsidRPr="00A856FB">
        <w:rPr>
          <w:sz w:val="28"/>
        </w:rPr>
        <w:t xml:space="preserve"> – Solute molecules move away from the interface, increasing surface tension.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Types of Liquid Interfaces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Adsorption occurs at two major types of interfaces:</w:t>
      </w:r>
    </w:p>
    <w:p w:rsidR="00A856FB" w:rsidRPr="00A856FB" w:rsidRDefault="00A856FB" w:rsidP="00A856FB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Liquid–Gas Interface</w:t>
      </w:r>
      <w:r w:rsidRPr="00A856FB">
        <w:rPr>
          <w:sz w:val="28"/>
        </w:rPr>
        <w:br/>
        <w:t>Molecules concentrate at the liquid surface exposed to air. Example: surfactants lowering water surface tension.</w:t>
      </w:r>
    </w:p>
    <w:p w:rsidR="00A856FB" w:rsidRPr="00A856FB" w:rsidRDefault="00A856FB" w:rsidP="00A856FB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Liquid–Liquid Interface</w:t>
      </w:r>
      <w:r w:rsidRPr="00A856FB">
        <w:rPr>
          <w:sz w:val="28"/>
        </w:rPr>
        <w:br/>
        <w:t>Adsorption at the boundary between two immiscible liquids, such as oil and water in emulsions. Surfactants stabilize droplets by forming interfacial films.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Gibbs Adsorption Isotherm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The relationship between surface tension and concentration of adsorbed materials is explained by </w:t>
      </w:r>
      <w:r w:rsidRPr="00A856FB">
        <w:rPr>
          <w:rStyle w:val="Strong"/>
          <w:sz w:val="28"/>
        </w:rPr>
        <w:t>Gibbs adsorption equation</w:t>
      </w:r>
      <w:r w:rsidRPr="00A856FB">
        <w:rPr>
          <w:sz w:val="28"/>
        </w:rPr>
        <w:t>: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Γ=−</w:t>
      </w:r>
      <w:proofErr w:type="gramStart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1RT(</w:t>
      </w:r>
      <w:proofErr w:type="spellStart"/>
      <w:proofErr w:type="gramEnd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dγdln⁡C</w:t>
      </w:r>
      <w:proofErr w:type="spellEnd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)\Gamma = -\</w:t>
      </w:r>
      <w:proofErr w:type="spellStart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frac</w:t>
      </w:r>
      <w:proofErr w:type="spellEnd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{1}{RT} \left( \</w:t>
      </w:r>
      <w:proofErr w:type="spellStart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frac</w:t>
      </w:r>
      <w:proofErr w:type="spellEnd"/>
      <w:r w:rsidRPr="00A856FB">
        <w:rPr>
          <w:rStyle w:val="katex-mathml"/>
          <w:rFonts w:ascii="Times New Roman" w:hAnsi="Times New Roman" w:cs="Times New Roman"/>
          <w:sz w:val="28"/>
          <w:szCs w:val="24"/>
        </w:rPr>
        <w:t>{d\gamma}{d\ln C} \right)</w:t>
      </w:r>
      <w:r w:rsidRPr="00A856FB">
        <w:rPr>
          <w:rStyle w:val="mord"/>
          <w:rFonts w:ascii="Times New Roman" w:hAnsi="Times New Roman" w:cs="Times New Roman"/>
          <w:sz w:val="28"/>
          <w:szCs w:val="24"/>
        </w:rPr>
        <w:t>Γ</w:t>
      </w:r>
      <w:r w:rsidRPr="00A856FB">
        <w:rPr>
          <w:rStyle w:val="mrel"/>
          <w:rFonts w:ascii="Times New Roman" w:hAnsi="Times New Roman" w:cs="Times New Roman"/>
          <w:sz w:val="28"/>
          <w:szCs w:val="24"/>
        </w:rPr>
        <w:t>=</w:t>
      </w:r>
      <w:r w:rsidRPr="00A856FB">
        <w:rPr>
          <w:rStyle w:val="mord"/>
          <w:rFonts w:ascii="Times New Roman" w:hAnsi="Times New Roman" w:cs="Times New Roman"/>
          <w:sz w:val="28"/>
          <w:szCs w:val="24"/>
        </w:rPr>
        <w:t>−RT1</w:t>
      </w:r>
      <w:r w:rsidRPr="00A856FB">
        <w:rPr>
          <w:rStyle w:val="vlist-s"/>
          <w:rFonts w:ascii="Times New Roman" w:hAnsi="Times New Roman" w:cs="Times New Roman"/>
          <w:sz w:val="28"/>
          <w:szCs w:val="24"/>
        </w:rPr>
        <w:t>​</w:t>
      </w:r>
      <w:r w:rsidRPr="00A856FB">
        <w:rPr>
          <w:rStyle w:val="delimsizing"/>
          <w:rFonts w:ascii="Times New Roman" w:hAnsi="Times New Roman" w:cs="Times New Roman"/>
          <w:sz w:val="28"/>
          <w:szCs w:val="24"/>
        </w:rPr>
        <w:t>(</w:t>
      </w:r>
      <w:proofErr w:type="spellStart"/>
      <w:r w:rsidRPr="00A856FB">
        <w:rPr>
          <w:rStyle w:val="mord"/>
          <w:rFonts w:ascii="Times New Roman" w:hAnsi="Times New Roman" w:cs="Times New Roman"/>
          <w:sz w:val="28"/>
          <w:szCs w:val="24"/>
        </w:rPr>
        <w:t>d</w:t>
      </w:r>
      <w:r w:rsidRPr="00A856FB">
        <w:rPr>
          <w:rStyle w:val="mop"/>
          <w:rFonts w:ascii="Times New Roman" w:hAnsi="Times New Roman" w:cs="Times New Roman"/>
          <w:sz w:val="28"/>
          <w:szCs w:val="24"/>
        </w:rPr>
        <w:t>ln</w:t>
      </w:r>
      <w:r w:rsidRPr="00A856FB">
        <w:rPr>
          <w:rStyle w:val="mord"/>
          <w:rFonts w:ascii="Times New Roman" w:hAnsi="Times New Roman" w:cs="Times New Roman"/>
          <w:sz w:val="28"/>
          <w:szCs w:val="24"/>
        </w:rPr>
        <w:t>Cdγ</w:t>
      </w:r>
      <w:proofErr w:type="spellEnd"/>
      <w:r w:rsidRPr="00A856FB">
        <w:rPr>
          <w:rStyle w:val="vlist-s"/>
          <w:rFonts w:ascii="Times New Roman" w:hAnsi="Times New Roman" w:cs="Times New Roman"/>
          <w:sz w:val="28"/>
          <w:szCs w:val="24"/>
        </w:rPr>
        <w:t>​</w:t>
      </w:r>
      <w:r w:rsidRPr="00A856FB">
        <w:rPr>
          <w:rStyle w:val="delimsizing"/>
          <w:rFonts w:ascii="Times New Roman" w:hAnsi="Times New Roman" w:cs="Times New Roman"/>
          <w:sz w:val="28"/>
          <w:szCs w:val="24"/>
        </w:rPr>
        <w:t>)</w:t>
      </w:r>
      <w:r w:rsidRPr="00A856F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Where:</w:t>
      </w:r>
    </w:p>
    <w:p w:rsidR="00A856FB" w:rsidRPr="00A856FB" w:rsidRDefault="00A856FB" w:rsidP="00A856FB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A856FB">
        <w:rPr>
          <w:rStyle w:val="katex-mathml"/>
          <w:sz w:val="28"/>
        </w:rPr>
        <w:lastRenderedPageBreak/>
        <w:t>Γ\</w:t>
      </w:r>
      <w:proofErr w:type="spellStart"/>
      <w:r w:rsidRPr="00A856FB">
        <w:rPr>
          <w:rStyle w:val="katex-mathml"/>
          <w:sz w:val="28"/>
        </w:rPr>
        <w:t>Gamma</w:t>
      </w:r>
      <w:r w:rsidRPr="00A856FB">
        <w:rPr>
          <w:rStyle w:val="mord"/>
          <w:sz w:val="28"/>
        </w:rPr>
        <w:t>Γ</w:t>
      </w:r>
      <w:proofErr w:type="spellEnd"/>
      <w:r w:rsidRPr="00A856FB">
        <w:rPr>
          <w:sz w:val="28"/>
        </w:rPr>
        <w:t xml:space="preserve"> = surface excess concentration (amount adsorbed per unit area)</w:t>
      </w:r>
    </w:p>
    <w:p w:rsidR="00A856FB" w:rsidRPr="00A856FB" w:rsidRDefault="00A856FB" w:rsidP="00A856FB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A856FB">
        <w:rPr>
          <w:rStyle w:val="katex-mathml"/>
          <w:sz w:val="28"/>
        </w:rPr>
        <w:t>γ\</w:t>
      </w:r>
      <w:proofErr w:type="spellStart"/>
      <w:r w:rsidRPr="00A856FB">
        <w:rPr>
          <w:rStyle w:val="katex-mathml"/>
          <w:sz w:val="28"/>
        </w:rPr>
        <w:t>gamma</w:t>
      </w:r>
      <w:r w:rsidRPr="00A856FB">
        <w:rPr>
          <w:rStyle w:val="mord"/>
          <w:sz w:val="28"/>
        </w:rPr>
        <w:t>γ</w:t>
      </w:r>
      <w:proofErr w:type="spellEnd"/>
      <w:r w:rsidRPr="00A856FB">
        <w:rPr>
          <w:sz w:val="28"/>
        </w:rPr>
        <w:t xml:space="preserve"> = surface/interfacial tension</w:t>
      </w:r>
    </w:p>
    <w:p w:rsidR="00A856FB" w:rsidRPr="00A856FB" w:rsidRDefault="00A856FB" w:rsidP="00A856FB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A856FB">
        <w:rPr>
          <w:rStyle w:val="katex-mathml"/>
          <w:sz w:val="28"/>
        </w:rPr>
        <w:t>CC</w:t>
      </w:r>
      <w:r w:rsidRPr="00A856FB">
        <w:rPr>
          <w:rStyle w:val="mord"/>
          <w:sz w:val="28"/>
        </w:rPr>
        <w:t>C</w:t>
      </w:r>
      <w:r w:rsidRPr="00A856FB">
        <w:rPr>
          <w:sz w:val="28"/>
        </w:rPr>
        <w:t xml:space="preserve"> = concentration of solute</w:t>
      </w:r>
    </w:p>
    <w:p w:rsidR="00A856FB" w:rsidRPr="00A856FB" w:rsidRDefault="00A856FB" w:rsidP="00A856FB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A856FB">
        <w:rPr>
          <w:rStyle w:val="katex-mathml"/>
          <w:sz w:val="28"/>
        </w:rPr>
        <w:t>RR</w:t>
      </w:r>
      <w:r w:rsidRPr="00A856FB">
        <w:rPr>
          <w:rStyle w:val="mord"/>
          <w:sz w:val="28"/>
        </w:rPr>
        <w:t>R</w:t>
      </w:r>
      <w:r w:rsidRPr="00A856FB">
        <w:rPr>
          <w:sz w:val="28"/>
        </w:rPr>
        <w:t xml:space="preserve"> = gas constant, </w:t>
      </w:r>
      <w:r w:rsidRPr="00A856FB">
        <w:rPr>
          <w:rStyle w:val="katex-mathml"/>
          <w:sz w:val="28"/>
        </w:rPr>
        <w:t>TT</w:t>
      </w:r>
      <w:r w:rsidRPr="00A856FB">
        <w:rPr>
          <w:rStyle w:val="mord"/>
          <w:sz w:val="28"/>
        </w:rPr>
        <w:t>T</w:t>
      </w:r>
      <w:r w:rsidRPr="00A856FB">
        <w:rPr>
          <w:sz w:val="28"/>
        </w:rPr>
        <w:t xml:space="preserve"> = absolute temperature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Interpretation</w:t>
      </w:r>
    </w:p>
    <w:p w:rsidR="00A856FB" w:rsidRPr="00A856FB" w:rsidRDefault="00A856FB" w:rsidP="00A856FB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If </w:t>
      </w:r>
      <w:proofErr w:type="spellStart"/>
      <w:r w:rsidRPr="00A856FB">
        <w:rPr>
          <w:rStyle w:val="katex-mathml"/>
          <w:sz w:val="28"/>
        </w:rPr>
        <w:t>dγdC</w:t>
      </w:r>
      <w:proofErr w:type="spellEnd"/>
      <w:r w:rsidRPr="00A856FB">
        <w:rPr>
          <w:rStyle w:val="katex-mathml"/>
          <w:sz w:val="28"/>
        </w:rPr>
        <w:t>&lt;0\</w:t>
      </w:r>
      <w:proofErr w:type="spellStart"/>
      <w:r w:rsidRPr="00A856FB">
        <w:rPr>
          <w:rStyle w:val="katex-mathml"/>
          <w:sz w:val="28"/>
        </w:rPr>
        <w:t>frac</w:t>
      </w:r>
      <w:proofErr w:type="spellEnd"/>
      <w:r w:rsidRPr="00A856FB">
        <w:rPr>
          <w:rStyle w:val="katex-mathml"/>
          <w:sz w:val="28"/>
        </w:rPr>
        <w:t>{d\gamma}{</w:t>
      </w:r>
      <w:proofErr w:type="spellStart"/>
      <w:r w:rsidRPr="00A856FB">
        <w:rPr>
          <w:rStyle w:val="katex-mathml"/>
          <w:sz w:val="28"/>
        </w:rPr>
        <w:t>dC</w:t>
      </w:r>
      <w:proofErr w:type="spellEnd"/>
      <w:r w:rsidRPr="00A856FB">
        <w:rPr>
          <w:rStyle w:val="katex-mathml"/>
          <w:sz w:val="28"/>
        </w:rPr>
        <w:t>} &lt; 0</w:t>
      </w:r>
      <w:r w:rsidRPr="00A856FB">
        <w:rPr>
          <w:rStyle w:val="mord"/>
          <w:sz w:val="28"/>
        </w:rPr>
        <w:t>dCdγ</w:t>
      </w:r>
      <w:r w:rsidRPr="00A856FB">
        <w:rPr>
          <w:rStyle w:val="vlist-s"/>
          <w:sz w:val="28"/>
        </w:rPr>
        <w:t>​</w:t>
      </w:r>
      <w:r w:rsidRPr="00A856FB">
        <w:rPr>
          <w:rStyle w:val="mrel"/>
          <w:sz w:val="28"/>
        </w:rPr>
        <w:t>&lt;</w:t>
      </w:r>
      <w:r w:rsidRPr="00A856FB">
        <w:rPr>
          <w:rStyle w:val="mord"/>
          <w:sz w:val="28"/>
        </w:rPr>
        <w:t>0</w:t>
      </w:r>
      <w:r w:rsidRPr="00A856FB">
        <w:rPr>
          <w:sz w:val="28"/>
        </w:rPr>
        <w:t xml:space="preserve"> → surface tension decreases → </w:t>
      </w:r>
      <w:r w:rsidRPr="00A856FB">
        <w:rPr>
          <w:rStyle w:val="Strong"/>
          <w:sz w:val="28"/>
        </w:rPr>
        <w:t>positive adsorption</w:t>
      </w:r>
    </w:p>
    <w:p w:rsidR="00A856FB" w:rsidRPr="00A856FB" w:rsidRDefault="00A856FB" w:rsidP="00A856FB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If </w:t>
      </w:r>
      <w:proofErr w:type="spellStart"/>
      <w:r w:rsidRPr="00A856FB">
        <w:rPr>
          <w:rStyle w:val="katex-mathml"/>
          <w:sz w:val="28"/>
        </w:rPr>
        <w:t>dγdC</w:t>
      </w:r>
      <w:proofErr w:type="spellEnd"/>
      <w:r w:rsidRPr="00A856FB">
        <w:rPr>
          <w:rStyle w:val="katex-mathml"/>
          <w:sz w:val="28"/>
        </w:rPr>
        <w:t>&gt;0\</w:t>
      </w:r>
      <w:proofErr w:type="spellStart"/>
      <w:r w:rsidRPr="00A856FB">
        <w:rPr>
          <w:rStyle w:val="katex-mathml"/>
          <w:sz w:val="28"/>
        </w:rPr>
        <w:t>frac</w:t>
      </w:r>
      <w:proofErr w:type="spellEnd"/>
      <w:r w:rsidRPr="00A856FB">
        <w:rPr>
          <w:rStyle w:val="katex-mathml"/>
          <w:sz w:val="28"/>
        </w:rPr>
        <w:t>{d\gamma}{</w:t>
      </w:r>
      <w:proofErr w:type="spellStart"/>
      <w:r w:rsidRPr="00A856FB">
        <w:rPr>
          <w:rStyle w:val="katex-mathml"/>
          <w:sz w:val="28"/>
        </w:rPr>
        <w:t>dC</w:t>
      </w:r>
      <w:proofErr w:type="spellEnd"/>
      <w:r w:rsidRPr="00A856FB">
        <w:rPr>
          <w:rStyle w:val="katex-mathml"/>
          <w:sz w:val="28"/>
        </w:rPr>
        <w:t>} &gt; 0</w:t>
      </w:r>
      <w:r w:rsidRPr="00A856FB">
        <w:rPr>
          <w:rStyle w:val="mord"/>
          <w:sz w:val="28"/>
        </w:rPr>
        <w:t>dCdγ</w:t>
      </w:r>
      <w:r w:rsidRPr="00A856FB">
        <w:rPr>
          <w:rStyle w:val="vlist-s"/>
          <w:sz w:val="28"/>
        </w:rPr>
        <w:t>​</w:t>
      </w:r>
      <w:r w:rsidRPr="00A856FB">
        <w:rPr>
          <w:rStyle w:val="mrel"/>
          <w:sz w:val="28"/>
        </w:rPr>
        <w:t>&gt;</w:t>
      </w:r>
      <w:r w:rsidRPr="00A856FB">
        <w:rPr>
          <w:rStyle w:val="mord"/>
          <w:sz w:val="28"/>
        </w:rPr>
        <w:t>0</w:t>
      </w:r>
      <w:r w:rsidRPr="00A856FB">
        <w:rPr>
          <w:sz w:val="28"/>
        </w:rPr>
        <w:t xml:space="preserve"> → surface tension increases → </w:t>
      </w:r>
      <w:r w:rsidRPr="00A856FB">
        <w:rPr>
          <w:rStyle w:val="Strong"/>
          <w:sz w:val="28"/>
        </w:rPr>
        <w:t>negative adsorption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Surfactants and Adsorption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Surfactants are the most important molecules involved in adsorption at liquid interfaces. They contain </w:t>
      </w:r>
      <w:r w:rsidRPr="00A856FB">
        <w:rPr>
          <w:rStyle w:val="Strong"/>
          <w:sz w:val="28"/>
        </w:rPr>
        <w:t>hydrophilic (polar)</w:t>
      </w:r>
      <w:r w:rsidRPr="00A856FB">
        <w:rPr>
          <w:sz w:val="28"/>
        </w:rPr>
        <w:t xml:space="preserve"> and </w:t>
      </w:r>
      <w:r w:rsidRPr="00A856FB">
        <w:rPr>
          <w:rStyle w:val="Strong"/>
          <w:sz w:val="28"/>
        </w:rPr>
        <w:t>hydrophobic (non-polar)</w:t>
      </w:r>
      <w:r w:rsidRPr="00A856FB">
        <w:rPr>
          <w:sz w:val="28"/>
        </w:rPr>
        <w:t xml:space="preserve"> groups.</w:t>
      </w:r>
    </w:p>
    <w:p w:rsidR="00A856FB" w:rsidRPr="00A856FB" w:rsidRDefault="00A856FB" w:rsidP="00A856FB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>The hydrophobic part aligns toward nonpolar media (oil/air).</w:t>
      </w:r>
    </w:p>
    <w:p w:rsidR="00A856FB" w:rsidRPr="00A856FB" w:rsidRDefault="00A856FB" w:rsidP="00A856FB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>The hydrophilic part aligns toward water.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This orientation </w:t>
      </w:r>
      <w:r w:rsidRPr="00A856FB">
        <w:rPr>
          <w:rStyle w:val="Strong"/>
          <w:sz w:val="28"/>
        </w:rPr>
        <w:t>reduces surface and interfacial tension</w:t>
      </w:r>
      <w:r w:rsidRPr="00A856FB">
        <w:rPr>
          <w:sz w:val="28"/>
        </w:rPr>
        <w:t>, improving wetting, spreading, emulsification, and stability.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Critical Micelle Concentration (CMC)</w:t>
      </w:r>
      <w:proofErr w:type="gramStart"/>
      <w:r w:rsidRPr="00A856FB">
        <w:rPr>
          <w:rStyle w:val="Strong"/>
          <w:sz w:val="28"/>
        </w:rPr>
        <w:t>:</w:t>
      </w:r>
      <w:proofErr w:type="gramEnd"/>
      <w:r w:rsidRPr="00A856FB">
        <w:rPr>
          <w:sz w:val="28"/>
        </w:rPr>
        <w:br/>
        <w:t>At low concentrations, surfactants adsorb at interfaces. Beyond a certain concentration (CMC), micelles are formed in bulk solution, and adsorption does not significantly increase.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Factors Affecting Adsorption at Liquid Interfaces</w:t>
      </w:r>
    </w:p>
    <w:p w:rsidR="00A856FB" w:rsidRPr="00A856FB" w:rsidRDefault="00A856FB" w:rsidP="00A856FB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Nature of Solute</w:t>
      </w:r>
      <w:r w:rsidRPr="00A856FB">
        <w:rPr>
          <w:sz w:val="28"/>
        </w:rPr>
        <w:br/>
        <w:t>Surface-active substances show positive adsorption.</w:t>
      </w:r>
    </w:p>
    <w:p w:rsidR="00A856FB" w:rsidRPr="00A856FB" w:rsidRDefault="00A856FB" w:rsidP="00A856FB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Temperature</w:t>
      </w:r>
      <w:r w:rsidRPr="00A856FB">
        <w:rPr>
          <w:sz w:val="28"/>
        </w:rPr>
        <w:br/>
        <w:t>Increase in temperature reduces adsorption because molecular motion increases.</w:t>
      </w:r>
    </w:p>
    <w:p w:rsidR="00A856FB" w:rsidRPr="00A856FB" w:rsidRDefault="00A856FB" w:rsidP="00A856FB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Concentration</w:t>
      </w:r>
      <w:r w:rsidRPr="00A856FB">
        <w:rPr>
          <w:sz w:val="28"/>
        </w:rPr>
        <w:br/>
        <w:t>Adsorption increases with solute concentration until saturation.</w:t>
      </w:r>
    </w:p>
    <w:p w:rsidR="00A856FB" w:rsidRPr="00A856FB" w:rsidRDefault="00A856FB" w:rsidP="00A856FB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proofErr w:type="gramStart"/>
      <w:r w:rsidRPr="00A856FB">
        <w:rPr>
          <w:rStyle w:val="Strong"/>
          <w:sz w:val="28"/>
        </w:rPr>
        <w:t>pH</w:t>
      </w:r>
      <w:proofErr w:type="gramEnd"/>
      <w:r w:rsidRPr="00A856FB">
        <w:rPr>
          <w:rStyle w:val="Strong"/>
          <w:sz w:val="28"/>
        </w:rPr>
        <w:t xml:space="preserve"> of the Medium</w:t>
      </w:r>
      <w:r w:rsidRPr="00A856FB">
        <w:rPr>
          <w:sz w:val="28"/>
        </w:rPr>
        <w:br/>
        <w:t>Ionic state of solute affects adsorption, especially for proteins and surfactants.</w:t>
      </w:r>
    </w:p>
    <w:p w:rsidR="00A856FB" w:rsidRPr="00A856FB" w:rsidRDefault="00A856FB" w:rsidP="00A856FB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856FB">
        <w:rPr>
          <w:rStyle w:val="Strong"/>
          <w:sz w:val="28"/>
        </w:rPr>
        <w:t>Presence of Electrolytes</w:t>
      </w:r>
      <w:r w:rsidRPr="00A856FB">
        <w:rPr>
          <w:sz w:val="28"/>
        </w:rPr>
        <w:br/>
      </w:r>
      <w:proofErr w:type="spellStart"/>
      <w:r w:rsidRPr="00A856FB">
        <w:rPr>
          <w:sz w:val="28"/>
        </w:rPr>
        <w:t>Electrolytes</w:t>
      </w:r>
      <w:proofErr w:type="spellEnd"/>
      <w:r w:rsidRPr="00A856FB">
        <w:rPr>
          <w:sz w:val="28"/>
        </w:rPr>
        <w:t xml:space="preserve"> can increase or decrease adsorption by altering solute activity.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Applications in Pharmacy</w:t>
      </w:r>
    </w:p>
    <w:p w:rsidR="00A856FB" w:rsidRPr="00A856FB" w:rsidRDefault="00A856FB" w:rsidP="00A856FB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1. Emulsions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Adsorption of surfactants at the oil–water interface forms a rigid interfacial film, preventing droplet coalescence and improving the stability of emulsions.</w:t>
      </w:r>
    </w:p>
    <w:p w:rsidR="00A856FB" w:rsidRPr="00A856FB" w:rsidRDefault="00A856FB" w:rsidP="00A856FB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2. Suspensions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Wetting agents adsorb at the solid–liquid interface, improving the dispersion of poorly </w:t>
      </w:r>
      <w:proofErr w:type="spellStart"/>
      <w:r w:rsidRPr="00A856FB">
        <w:rPr>
          <w:sz w:val="28"/>
        </w:rPr>
        <w:t>wettable</w:t>
      </w:r>
      <w:proofErr w:type="spellEnd"/>
      <w:r w:rsidRPr="00A856FB">
        <w:rPr>
          <w:sz w:val="28"/>
        </w:rPr>
        <w:t xml:space="preserve"> powders.</w:t>
      </w:r>
    </w:p>
    <w:p w:rsidR="00A856FB" w:rsidRPr="00A856FB" w:rsidRDefault="00A856FB" w:rsidP="00A856FB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lastRenderedPageBreak/>
        <w:t xml:space="preserve">3. Drug </w:t>
      </w:r>
      <w:proofErr w:type="spellStart"/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Solubilization</w:t>
      </w:r>
      <w:proofErr w:type="spellEnd"/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Surfactant adsorption enhances dissolution of poorly soluble drugs by reducing interfacial tension.</w:t>
      </w:r>
    </w:p>
    <w:p w:rsidR="00A856FB" w:rsidRPr="00A856FB" w:rsidRDefault="00A856FB" w:rsidP="00A856FB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4. Tablet Manufacturing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Lubricants such as magnesium stearate adsorb onto granules, reducing friction during tablet compression.</w:t>
      </w:r>
    </w:p>
    <w:p w:rsidR="00A856FB" w:rsidRPr="00A856FB" w:rsidRDefault="00A856FB" w:rsidP="00A856FB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5. Foams and Aerosols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Adsorption at air–liquid interfaces stabilizes foams used in pharmaceutical products like shaving creams and sprays.</w:t>
      </w:r>
    </w:p>
    <w:p w:rsidR="00A856FB" w:rsidRPr="00A856FB" w:rsidRDefault="00A856FB" w:rsidP="00A856FB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856FB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6. Protein Stabilization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Proteins adsorb at biological interfaces, influencing drug delivery systems, vaccines, and injectable formulations.</w:t>
      </w:r>
    </w:p>
    <w:p w:rsidR="00A856FB" w:rsidRPr="00A856FB" w:rsidRDefault="00A856FB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56FB" w:rsidRPr="00A856FB" w:rsidRDefault="00A856FB" w:rsidP="00A856FB">
      <w:pPr>
        <w:pStyle w:val="Heading3"/>
        <w:spacing w:line="360" w:lineRule="auto"/>
        <w:jc w:val="both"/>
        <w:rPr>
          <w:sz w:val="28"/>
          <w:szCs w:val="24"/>
        </w:rPr>
      </w:pPr>
      <w:r w:rsidRPr="00A856FB">
        <w:rPr>
          <w:rStyle w:val="Strong"/>
          <w:b/>
          <w:bCs/>
          <w:sz w:val="28"/>
          <w:szCs w:val="24"/>
        </w:rPr>
        <w:t>Significance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t>Understanding adsorption at liquid interfaces enables formulators to:</w:t>
      </w:r>
    </w:p>
    <w:p w:rsidR="00A856FB" w:rsidRPr="00A856FB" w:rsidRDefault="00A856FB" w:rsidP="00A856FB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Select appropriate </w:t>
      </w:r>
      <w:r w:rsidRPr="00A856FB">
        <w:rPr>
          <w:rStyle w:val="Strong"/>
          <w:sz w:val="28"/>
        </w:rPr>
        <w:t>surfactants</w:t>
      </w:r>
      <w:r w:rsidRPr="00A856FB">
        <w:rPr>
          <w:sz w:val="28"/>
        </w:rPr>
        <w:t xml:space="preserve"> for emulsions and suspensions</w:t>
      </w:r>
    </w:p>
    <w:p w:rsidR="00A856FB" w:rsidRPr="00A856FB" w:rsidRDefault="00A856FB" w:rsidP="00A856FB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 xml:space="preserve">Improve the </w:t>
      </w:r>
      <w:r w:rsidRPr="00A856FB">
        <w:rPr>
          <w:rStyle w:val="Strong"/>
          <w:sz w:val="28"/>
        </w:rPr>
        <w:t>bioavailability</w:t>
      </w:r>
      <w:r w:rsidRPr="00A856FB">
        <w:rPr>
          <w:sz w:val="28"/>
        </w:rPr>
        <w:t xml:space="preserve"> of drugs</w:t>
      </w:r>
    </w:p>
    <w:p w:rsidR="00A856FB" w:rsidRPr="00A856FB" w:rsidRDefault="00A856FB" w:rsidP="00A856FB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>Enhance physical stability of dosage forms</w:t>
      </w:r>
    </w:p>
    <w:p w:rsidR="00A856FB" w:rsidRPr="00A856FB" w:rsidRDefault="00A856FB" w:rsidP="00A856FB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>Control wetting, spreading, and coating behavior</w:t>
      </w:r>
    </w:p>
    <w:p w:rsidR="00A856FB" w:rsidRPr="00A856FB" w:rsidRDefault="00A856FB" w:rsidP="00A856FB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A856FB">
        <w:rPr>
          <w:sz w:val="28"/>
        </w:rPr>
        <w:t>Develop superior topical, oral, and parenteral formulations</w:t>
      </w:r>
    </w:p>
    <w:p w:rsidR="00A856FB" w:rsidRPr="00A856FB" w:rsidRDefault="00A856FB" w:rsidP="00A856FB">
      <w:pPr>
        <w:pStyle w:val="NormalWeb"/>
        <w:spacing w:line="360" w:lineRule="auto"/>
        <w:jc w:val="both"/>
        <w:rPr>
          <w:sz w:val="28"/>
        </w:rPr>
      </w:pPr>
      <w:r w:rsidRPr="00A856FB">
        <w:rPr>
          <w:sz w:val="28"/>
        </w:rPr>
        <w:lastRenderedPageBreak/>
        <w:t xml:space="preserve">It forms the foundation of </w:t>
      </w:r>
      <w:r w:rsidRPr="00A856FB">
        <w:rPr>
          <w:rStyle w:val="Strong"/>
          <w:sz w:val="28"/>
        </w:rPr>
        <w:t>colloid science</w:t>
      </w:r>
      <w:r w:rsidRPr="00A856FB">
        <w:rPr>
          <w:sz w:val="28"/>
        </w:rPr>
        <w:t xml:space="preserve"> and modern pharmaceutics.</w:t>
      </w:r>
    </w:p>
    <w:p w:rsidR="00DB570F" w:rsidRPr="00A856FB" w:rsidRDefault="00DB570F" w:rsidP="00A856F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DB570F" w:rsidRPr="00A856FB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AC4" w:rsidRDefault="00912AC4" w:rsidP="00DB570F">
      <w:pPr>
        <w:spacing w:after="0" w:line="240" w:lineRule="auto"/>
      </w:pPr>
      <w:r>
        <w:separator/>
      </w:r>
    </w:p>
  </w:endnote>
  <w:endnote w:type="continuationSeparator" w:id="0">
    <w:p w:rsidR="00912AC4" w:rsidRDefault="00912AC4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AC4" w:rsidRDefault="00912AC4" w:rsidP="00DB570F">
      <w:pPr>
        <w:spacing w:after="0" w:line="240" w:lineRule="auto"/>
      </w:pPr>
      <w:r>
        <w:separator/>
      </w:r>
    </w:p>
  </w:footnote>
  <w:footnote w:type="continuationSeparator" w:id="0">
    <w:p w:rsidR="00912AC4" w:rsidRDefault="00912AC4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12AC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A856FB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912AC4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12AC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21EC7"/>
    <w:multiLevelType w:val="multilevel"/>
    <w:tmpl w:val="BAB0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12563"/>
    <w:multiLevelType w:val="multilevel"/>
    <w:tmpl w:val="14DE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06743"/>
    <w:multiLevelType w:val="multilevel"/>
    <w:tmpl w:val="8124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16F4B"/>
    <w:multiLevelType w:val="multilevel"/>
    <w:tmpl w:val="CF22E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9265A"/>
    <w:multiLevelType w:val="multilevel"/>
    <w:tmpl w:val="F95E2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22922"/>
    <w:multiLevelType w:val="multilevel"/>
    <w:tmpl w:val="7398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95A02"/>
    <w:multiLevelType w:val="multilevel"/>
    <w:tmpl w:val="A1FC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  <w:num w:numId="12">
    <w:abstractNumId w:val="7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12AC4"/>
    <w:rsid w:val="009517CE"/>
    <w:rsid w:val="00997E8F"/>
    <w:rsid w:val="009A76D7"/>
    <w:rsid w:val="009C02E7"/>
    <w:rsid w:val="009E68EC"/>
    <w:rsid w:val="00A22D24"/>
    <w:rsid w:val="00A37C51"/>
    <w:rsid w:val="00A8407A"/>
    <w:rsid w:val="00A856FB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6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6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A856FB"/>
  </w:style>
  <w:style w:type="character" w:customStyle="1" w:styleId="mord">
    <w:name w:val="mord"/>
    <w:basedOn w:val="DefaultParagraphFont"/>
    <w:rsid w:val="00A856FB"/>
  </w:style>
  <w:style w:type="character" w:customStyle="1" w:styleId="mrel">
    <w:name w:val="mrel"/>
    <w:basedOn w:val="DefaultParagraphFont"/>
    <w:rsid w:val="00A856FB"/>
  </w:style>
  <w:style w:type="character" w:customStyle="1" w:styleId="vlist-s">
    <w:name w:val="vlist-s"/>
    <w:basedOn w:val="DefaultParagraphFont"/>
    <w:rsid w:val="00A856FB"/>
  </w:style>
  <w:style w:type="character" w:customStyle="1" w:styleId="delimsizing">
    <w:name w:val="delimsizing"/>
    <w:basedOn w:val="DefaultParagraphFont"/>
    <w:rsid w:val="00A856FB"/>
  </w:style>
  <w:style w:type="character" w:customStyle="1" w:styleId="mop">
    <w:name w:val="mop"/>
    <w:basedOn w:val="DefaultParagraphFont"/>
    <w:rsid w:val="00A85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2025-11-28T04:55:00Z</dcterms:created>
  <dcterms:modified xsi:type="dcterms:W3CDTF">2025-11-28T04:55:00Z</dcterms:modified>
</cp:coreProperties>
</file>