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113017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017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PHYSICAL PHARMACEUTICS-I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BP302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A8407A" w:rsidP="0011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45B4E">
        <w:rPr>
          <w:rFonts w:ascii="Times New Roman" w:hAnsi="Times New Roman" w:cs="Times New Roman"/>
          <w:sz w:val="24"/>
          <w:szCs w:val="24"/>
        </w:rPr>
        <w:t xml:space="preserve">   UNIT: 1</w:t>
      </w:r>
      <w:r w:rsidR="000F41B4">
        <w:rPr>
          <w:rFonts w:ascii="Times New Roman" w:hAnsi="Times New Roman" w:cs="Times New Roman"/>
          <w:sz w:val="24"/>
          <w:szCs w:val="24"/>
        </w:rPr>
        <w:t>(SOLUBILITY OF DRUGS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 xml:space="preserve">        CLASS:</w:t>
      </w:r>
      <w:r w:rsidR="00A22D24">
        <w:rPr>
          <w:rFonts w:ascii="Times New Roman" w:hAnsi="Times New Roman" w:cs="Times New Roman"/>
          <w:sz w:val="24"/>
          <w:szCs w:val="24"/>
        </w:rPr>
        <w:t xml:space="preserve"> </w:t>
      </w:r>
      <w:r w:rsidR="006B6E8A">
        <w:rPr>
          <w:rFonts w:ascii="Times New Roman" w:hAnsi="Times New Roman" w:cs="Times New Roman"/>
          <w:sz w:val="24"/>
          <w:szCs w:val="24"/>
        </w:rPr>
        <w:t>2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B06C2F" w:rsidRPr="006B6E8A" w:rsidRDefault="00DA1A81" w:rsidP="00B06C2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A8407A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r w:rsidR="006B6E8A" w:rsidRPr="006B6E8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MECHANISMS OF SOLUTE SOLVENT INTERACTIONS, IDEAL SOLUBILITY PARAMETERS</w:t>
      </w:r>
    </w:p>
    <w:bookmarkEnd w:id="0"/>
    <w:p w:rsidR="00B06C2F" w:rsidRDefault="00B06C2F" w:rsidP="00B06C2F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6B6E8A" w:rsidRPr="006B6E8A" w:rsidRDefault="006B6E8A" w:rsidP="006B6E8A">
      <w:pPr>
        <w:pStyle w:val="Heading2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rong"/>
          <w:b w:val="0"/>
          <w:bCs w:val="0"/>
        </w:rPr>
        <w:t>1</w:t>
      </w:r>
      <w:r w:rsidRPr="006B6E8A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. Mechanisms of Solute–Solvent Interactions</w:t>
      </w:r>
    </w:p>
    <w:p w:rsidR="006B6E8A" w:rsidRPr="006B6E8A" w:rsidRDefault="006B6E8A" w:rsidP="006B6E8A">
      <w:pPr>
        <w:pStyle w:val="NormalWeb"/>
        <w:spacing w:line="360" w:lineRule="auto"/>
        <w:jc w:val="both"/>
      </w:pPr>
      <w:r w:rsidRPr="006B6E8A">
        <w:t>Solute–solvent interactions occur at the molecular level and involve three major steps:</w:t>
      </w:r>
    </w:p>
    <w:p w:rsidR="006B6E8A" w:rsidRPr="006B6E8A" w:rsidRDefault="006B6E8A" w:rsidP="006B6E8A">
      <w:pPr>
        <w:pStyle w:val="Heading3"/>
        <w:spacing w:line="360" w:lineRule="auto"/>
        <w:jc w:val="both"/>
        <w:rPr>
          <w:sz w:val="24"/>
          <w:szCs w:val="24"/>
        </w:rPr>
      </w:pPr>
      <w:r w:rsidRPr="006B6E8A">
        <w:rPr>
          <w:rStyle w:val="Strong"/>
          <w:b/>
          <w:bCs/>
          <w:sz w:val="24"/>
          <w:szCs w:val="24"/>
        </w:rPr>
        <w:t>Step 1: Breaking of Solute–Solute Bonds</w:t>
      </w:r>
    </w:p>
    <w:p w:rsidR="006B6E8A" w:rsidRPr="006B6E8A" w:rsidRDefault="006B6E8A" w:rsidP="006B6E8A">
      <w:pPr>
        <w:pStyle w:val="NormalWeb"/>
        <w:numPr>
          <w:ilvl w:val="0"/>
          <w:numId w:val="9"/>
        </w:numPr>
        <w:spacing w:line="360" w:lineRule="auto"/>
        <w:jc w:val="both"/>
      </w:pPr>
      <w:r w:rsidRPr="006B6E8A">
        <w:t xml:space="preserve">Before a solute dissolves, the molecules held by intermolecular forces such as </w:t>
      </w:r>
      <w:r w:rsidRPr="006B6E8A">
        <w:rPr>
          <w:rStyle w:val="Strong"/>
        </w:rPr>
        <w:t>ionic bonds, hydrogen bonds, dipole forces, or Van der Waals forces</w:t>
      </w:r>
      <w:r w:rsidRPr="006B6E8A">
        <w:t xml:space="preserve"> must separate.</w:t>
      </w:r>
    </w:p>
    <w:p w:rsidR="006B6E8A" w:rsidRPr="006B6E8A" w:rsidRDefault="006B6E8A" w:rsidP="006B6E8A">
      <w:pPr>
        <w:pStyle w:val="NormalWeb"/>
        <w:numPr>
          <w:ilvl w:val="0"/>
          <w:numId w:val="9"/>
        </w:numPr>
        <w:spacing w:line="360" w:lineRule="auto"/>
        <w:jc w:val="both"/>
      </w:pPr>
      <w:r w:rsidRPr="006B6E8A">
        <w:t xml:space="preserve">This step requires energy known as </w:t>
      </w:r>
      <w:r w:rsidRPr="006B6E8A">
        <w:rPr>
          <w:rStyle w:val="Strong"/>
        </w:rPr>
        <w:t>lattice energy</w:t>
      </w:r>
      <w:r w:rsidRPr="006B6E8A">
        <w:t>.</w:t>
      </w:r>
    </w:p>
    <w:p w:rsidR="006B6E8A" w:rsidRPr="006B6E8A" w:rsidRDefault="006B6E8A" w:rsidP="006B6E8A">
      <w:pPr>
        <w:pStyle w:val="NormalWeb"/>
        <w:numPr>
          <w:ilvl w:val="0"/>
          <w:numId w:val="9"/>
        </w:numPr>
        <w:spacing w:line="360" w:lineRule="auto"/>
        <w:jc w:val="both"/>
      </w:pPr>
      <w:r w:rsidRPr="006B6E8A">
        <w:t>Example: Breaking the crystal lattice of NaCl before dissolution.</w:t>
      </w:r>
    </w:p>
    <w:p w:rsidR="006B6E8A" w:rsidRPr="006B6E8A" w:rsidRDefault="006B6E8A" w:rsidP="006B6E8A">
      <w:pPr>
        <w:pStyle w:val="Heading3"/>
        <w:spacing w:line="360" w:lineRule="auto"/>
        <w:jc w:val="both"/>
        <w:rPr>
          <w:sz w:val="24"/>
          <w:szCs w:val="24"/>
        </w:rPr>
      </w:pPr>
      <w:r w:rsidRPr="006B6E8A">
        <w:rPr>
          <w:rStyle w:val="Strong"/>
          <w:b/>
          <w:bCs/>
          <w:sz w:val="24"/>
          <w:szCs w:val="24"/>
        </w:rPr>
        <w:t>Step 2: Breaking of Solvent–Solvent Bonds</w:t>
      </w:r>
    </w:p>
    <w:p w:rsidR="006B6E8A" w:rsidRPr="006B6E8A" w:rsidRDefault="006B6E8A" w:rsidP="006B6E8A">
      <w:pPr>
        <w:pStyle w:val="NormalWeb"/>
        <w:numPr>
          <w:ilvl w:val="0"/>
          <w:numId w:val="10"/>
        </w:numPr>
        <w:spacing w:line="360" w:lineRule="auto"/>
        <w:jc w:val="both"/>
      </w:pPr>
      <w:r w:rsidRPr="006B6E8A">
        <w:t>Solvent molecules must create space for solute molecules.</w:t>
      </w:r>
    </w:p>
    <w:p w:rsidR="006B6E8A" w:rsidRPr="006B6E8A" w:rsidRDefault="006B6E8A" w:rsidP="006B6E8A">
      <w:pPr>
        <w:pStyle w:val="NormalWeb"/>
        <w:numPr>
          <w:ilvl w:val="0"/>
          <w:numId w:val="10"/>
        </w:numPr>
        <w:spacing w:line="360" w:lineRule="auto"/>
        <w:jc w:val="both"/>
      </w:pPr>
      <w:r w:rsidRPr="006B6E8A">
        <w:t xml:space="preserve">This requires energy to disrupt the </w:t>
      </w:r>
      <w:r w:rsidRPr="006B6E8A">
        <w:rPr>
          <w:rStyle w:val="Strong"/>
        </w:rPr>
        <w:t>cohesive forces</w:t>
      </w:r>
      <w:r w:rsidRPr="006B6E8A">
        <w:t xml:space="preserve"> in the solvent.</w:t>
      </w:r>
    </w:p>
    <w:p w:rsidR="006B6E8A" w:rsidRPr="006B6E8A" w:rsidRDefault="006B6E8A" w:rsidP="006B6E8A">
      <w:pPr>
        <w:pStyle w:val="NormalWeb"/>
        <w:numPr>
          <w:ilvl w:val="0"/>
          <w:numId w:val="10"/>
        </w:numPr>
        <w:spacing w:line="360" w:lineRule="auto"/>
        <w:jc w:val="both"/>
      </w:pPr>
      <w:r w:rsidRPr="006B6E8A">
        <w:t>The stronger the solvent–solvent attraction, the harder the dissolution.</w:t>
      </w:r>
    </w:p>
    <w:p w:rsidR="006B6E8A" w:rsidRPr="006B6E8A" w:rsidRDefault="006B6E8A" w:rsidP="006B6E8A">
      <w:pPr>
        <w:pStyle w:val="Heading3"/>
        <w:spacing w:line="360" w:lineRule="auto"/>
        <w:jc w:val="both"/>
        <w:rPr>
          <w:sz w:val="24"/>
          <w:szCs w:val="24"/>
        </w:rPr>
      </w:pPr>
      <w:r w:rsidRPr="006B6E8A">
        <w:rPr>
          <w:rStyle w:val="Strong"/>
          <w:b/>
          <w:bCs/>
          <w:sz w:val="24"/>
          <w:szCs w:val="24"/>
        </w:rPr>
        <w:t>Step 3: Formation of Solute–Solvent Bonds</w:t>
      </w:r>
    </w:p>
    <w:p w:rsidR="006B6E8A" w:rsidRPr="006B6E8A" w:rsidRDefault="006B6E8A" w:rsidP="006B6E8A">
      <w:pPr>
        <w:pStyle w:val="NormalWeb"/>
        <w:numPr>
          <w:ilvl w:val="0"/>
          <w:numId w:val="11"/>
        </w:numPr>
        <w:spacing w:line="360" w:lineRule="auto"/>
        <w:jc w:val="both"/>
      </w:pPr>
      <w:r w:rsidRPr="006B6E8A">
        <w:t>New interactions are formed between solute and solvent molecules.</w:t>
      </w:r>
    </w:p>
    <w:p w:rsidR="006B6E8A" w:rsidRPr="006B6E8A" w:rsidRDefault="006B6E8A" w:rsidP="006B6E8A">
      <w:pPr>
        <w:pStyle w:val="NormalWeb"/>
        <w:numPr>
          <w:ilvl w:val="0"/>
          <w:numId w:val="11"/>
        </w:numPr>
        <w:spacing w:line="360" w:lineRule="auto"/>
        <w:jc w:val="both"/>
      </w:pPr>
      <w:r w:rsidRPr="006B6E8A">
        <w:t xml:space="preserve">Energy released here is called </w:t>
      </w:r>
      <w:r w:rsidRPr="006B6E8A">
        <w:rPr>
          <w:rStyle w:val="Strong"/>
        </w:rPr>
        <w:t>solvation energy</w:t>
      </w:r>
      <w:r w:rsidRPr="006B6E8A">
        <w:t xml:space="preserve"> (or </w:t>
      </w:r>
      <w:r w:rsidRPr="006B6E8A">
        <w:rPr>
          <w:rStyle w:val="Strong"/>
        </w:rPr>
        <w:t>hydration energy</w:t>
      </w:r>
      <w:r w:rsidRPr="006B6E8A">
        <w:t xml:space="preserve"> in water).</w:t>
      </w:r>
    </w:p>
    <w:p w:rsidR="006B6E8A" w:rsidRPr="006B6E8A" w:rsidRDefault="006B6E8A" w:rsidP="006B6E8A">
      <w:pPr>
        <w:pStyle w:val="NormalWeb"/>
        <w:numPr>
          <w:ilvl w:val="0"/>
          <w:numId w:val="11"/>
        </w:numPr>
        <w:spacing w:line="360" w:lineRule="auto"/>
        <w:jc w:val="both"/>
      </w:pPr>
      <w:r w:rsidRPr="006B6E8A">
        <w:rPr>
          <w:rStyle w:val="Strong"/>
        </w:rPr>
        <w:t>Dissolution occurs only when solvation energy ≥ lattice energy</w:t>
      </w:r>
      <w:r w:rsidRPr="006B6E8A">
        <w:t>.</w:t>
      </w:r>
    </w:p>
    <w:p w:rsidR="006B6E8A" w:rsidRPr="006B6E8A" w:rsidRDefault="006B6E8A" w:rsidP="006B6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6E8A" w:rsidRPr="006B6E8A" w:rsidRDefault="006B6E8A" w:rsidP="006B6E8A">
      <w:pPr>
        <w:pStyle w:val="Heading3"/>
        <w:spacing w:line="360" w:lineRule="auto"/>
        <w:jc w:val="both"/>
        <w:rPr>
          <w:sz w:val="24"/>
          <w:szCs w:val="24"/>
        </w:rPr>
      </w:pPr>
      <w:r w:rsidRPr="006B6E8A">
        <w:rPr>
          <w:rStyle w:val="Strong"/>
          <w:b/>
          <w:bCs/>
          <w:sz w:val="24"/>
          <w:szCs w:val="24"/>
        </w:rPr>
        <w:t>Types of Solute–Solvent Interactions</w:t>
      </w:r>
    </w:p>
    <w:p w:rsidR="006B6E8A" w:rsidRPr="006B6E8A" w:rsidRDefault="006B6E8A" w:rsidP="006B6E8A">
      <w:pPr>
        <w:pStyle w:val="Heading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E8A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1. Ion–Dipole Interaction</w:t>
      </w:r>
    </w:p>
    <w:p w:rsidR="006B6E8A" w:rsidRPr="006B6E8A" w:rsidRDefault="006B6E8A" w:rsidP="006B6E8A">
      <w:pPr>
        <w:pStyle w:val="NormalWeb"/>
        <w:numPr>
          <w:ilvl w:val="0"/>
          <w:numId w:val="12"/>
        </w:numPr>
        <w:spacing w:line="360" w:lineRule="auto"/>
        <w:jc w:val="both"/>
      </w:pPr>
      <w:r w:rsidRPr="006B6E8A">
        <w:t>Occurs when ionic solutes interact with polar solvents.</w:t>
      </w:r>
    </w:p>
    <w:p w:rsidR="006B6E8A" w:rsidRPr="006B6E8A" w:rsidRDefault="006B6E8A" w:rsidP="006B6E8A">
      <w:pPr>
        <w:pStyle w:val="NormalWeb"/>
        <w:numPr>
          <w:ilvl w:val="0"/>
          <w:numId w:val="12"/>
        </w:numPr>
        <w:spacing w:line="360" w:lineRule="auto"/>
        <w:jc w:val="both"/>
      </w:pPr>
      <w:r w:rsidRPr="006B6E8A">
        <w:t>Strongest interaction responsible for dissolution of salts in water.</w:t>
      </w:r>
    </w:p>
    <w:p w:rsidR="006B6E8A" w:rsidRPr="006B6E8A" w:rsidRDefault="006B6E8A" w:rsidP="006B6E8A">
      <w:pPr>
        <w:pStyle w:val="NormalWeb"/>
        <w:numPr>
          <w:ilvl w:val="0"/>
          <w:numId w:val="12"/>
        </w:numPr>
        <w:spacing w:line="360" w:lineRule="auto"/>
        <w:jc w:val="both"/>
      </w:pPr>
      <w:r w:rsidRPr="006B6E8A">
        <w:t>Example: Na⁺ surrounded by water dipoles.</w:t>
      </w:r>
    </w:p>
    <w:p w:rsidR="006B6E8A" w:rsidRPr="006B6E8A" w:rsidRDefault="006B6E8A" w:rsidP="006B6E8A">
      <w:pPr>
        <w:pStyle w:val="Heading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E8A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2. Dipole–Dipole Interaction</w:t>
      </w:r>
    </w:p>
    <w:p w:rsidR="006B6E8A" w:rsidRPr="006B6E8A" w:rsidRDefault="006B6E8A" w:rsidP="006B6E8A">
      <w:pPr>
        <w:pStyle w:val="NormalWeb"/>
        <w:numPr>
          <w:ilvl w:val="0"/>
          <w:numId w:val="13"/>
        </w:numPr>
        <w:spacing w:line="360" w:lineRule="auto"/>
        <w:jc w:val="both"/>
      </w:pPr>
      <w:r w:rsidRPr="006B6E8A">
        <w:t>Between polar solute and polar solvent.</w:t>
      </w:r>
    </w:p>
    <w:p w:rsidR="006B6E8A" w:rsidRPr="006B6E8A" w:rsidRDefault="006B6E8A" w:rsidP="006B6E8A">
      <w:pPr>
        <w:pStyle w:val="NormalWeb"/>
        <w:numPr>
          <w:ilvl w:val="0"/>
          <w:numId w:val="13"/>
        </w:numPr>
        <w:spacing w:line="360" w:lineRule="auto"/>
        <w:jc w:val="both"/>
      </w:pPr>
      <w:r w:rsidRPr="006B6E8A">
        <w:t>Example: Alcohols dissolving in water.</w:t>
      </w:r>
    </w:p>
    <w:p w:rsidR="006B6E8A" w:rsidRPr="006B6E8A" w:rsidRDefault="006B6E8A" w:rsidP="006B6E8A">
      <w:pPr>
        <w:pStyle w:val="Heading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E8A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3. Hydrogen Bonding</w:t>
      </w:r>
    </w:p>
    <w:p w:rsidR="006B6E8A" w:rsidRPr="006B6E8A" w:rsidRDefault="006B6E8A" w:rsidP="006B6E8A">
      <w:pPr>
        <w:pStyle w:val="NormalWeb"/>
        <w:numPr>
          <w:ilvl w:val="0"/>
          <w:numId w:val="14"/>
        </w:numPr>
        <w:spacing w:line="360" w:lineRule="auto"/>
        <w:jc w:val="both"/>
      </w:pPr>
      <w:r w:rsidRPr="006B6E8A">
        <w:t xml:space="preserve">Special dipole interaction where </w:t>
      </w:r>
      <w:r w:rsidRPr="006B6E8A">
        <w:rPr>
          <w:rStyle w:val="Strong"/>
        </w:rPr>
        <w:t>H atom</w:t>
      </w:r>
      <w:r w:rsidRPr="006B6E8A">
        <w:t xml:space="preserve"> bonds with electronegative atoms (O, N, F).</w:t>
      </w:r>
    </w:p>
    <w:p w:rsidR="006B6E8A" w:rsidRPr="006B6E8A" w:rsidRDefault="006B6E8A" w:rsidP="006B6E8A">
      <w:pPr>
        <w:pStyle w:val="NormalWeb"/>
        <w:numPr>
          <w:ilvl w:val="0"/>
          <w:numId w:val="14"/>
        </w:numPr>
        <w:spacing w:line="360" w:lineRule="auto"/>
        <w:jc w:val="both"/>
      </w:pPr>
      <w:r w:rsidRPr="006B6E8A">
        <w:t>Responsible for dissolution of sugars, amino acids.</w:t>
      </w:r>
    </w:p>
    <w:p w:rsidR="006B6E8A" w:rsidRPr="006B6E8A" w:rsidRDefault="006B6E8A" w:rsidP="006B6E8A">
      <w:pPr>
        <w:pStyle w:val="Heading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E8A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4. Ion–Induced Dipole Interaction</w:t>
      </w:r>
    </w:p>
    <w:p w:rsidR="006B6E8A" w:rsidRPr="006B6E8A" w:rsidRDefault="006B6E8A" w:rsidP="006B6E8A">
      <w:pPr>
        <w:pStyle w:val="NormalWeb"/>
        <w:numPr>
          <w:ilvl w:val="0"/>
          <w:numId w:val="15"/>
        </w:numPr>
        <w:spacing w:line="360" w:lineRule="auto"/>
        <w:jc w:val="both"/>
      </w:pPr>
      <w:r w:rsidRPr="006B6E8A">
        <w:t>Ionic solutes induce dipoles in non-polar solvents.</w:t>
      </w:r>
    </w:p>
    <w:p w:rsidR="006B6E8A" w:rsidRPr="006B6E8A" w:rsidRDefault="006B6E8A" w:rsidP="006B6E8A">
      <w:pPr>
        <w:pStyle w:val="NormalWeb"/>
        <w:numPr>
          <w:ilvl w:val="0"/>
          <w:numId w:val="15"/>
        </w:numPr>
        <w:spacing w:line="360" w:lineRule="auto"/>
        <w:jc w:val="both"/>
      </w:pPr>
      <w:r w:rsidRPr="006B6E8A">
        <w:t>Generally weak, results in poor solubility.</w:t>
      </w:r>
    </w:p>
    <w:p w:rsidR="006B6E8A" w:rsidRPr="006B6E8A" w:rsidRDefault="006B6E8A" w:rsidP="006B6E8A">
      <w:pPr>
        <w:pStyle w:val="Heading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E8A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5. Van der Waals Forces</w:t>
      </w:r>
    </w:p>
    <w:p w:rsidR="006B6E8A" w:rsidRPr="006B6E8A" w:rsidRDefault="006B6E8A" w:rsidP="006B6E8A">
      <w:pPr>
        <w:pStyle w:val="NormalWeb"/>
        <w:numPr>
          <w:ilvl w:val="0"/>
          <w:numId w:val="16"/>
        </w:numPr>
        <w:spacing w:line="360" w:lineRule="auto"/>
        <w:jc w:val="both"/>
      </w:pPr>
      <w:r w:rsidRPr="006B6E8A">
        <w:t>Weak interactions dominant in nonpolar systems.</w:t>
      </w:r>
    </w:p>
    <w:p w:rsidR="006B6E8A" w:rsidRPr="006B6E8A" w:rsidRDefault="006B6E8A" w:rsidP="006B6E8A">
      <w:pPr>
        <w:pStyle w:val="NormalWeb"/>
        <w:numPr>
          <w:ilvl w:val="0"/>
          <w:numId w:val="16"/>
        </w:numPr>
        <w:spacing w:line="360" w:lineRule="auto"/>
        <w:jc w:val="both"/>
      </w:pPr>
      <w:r w:rsidRPr="006B6E8A">
        <w:t>Example: Dissolution of oils in hydrocarbons (like dissolves like).</w:t>
      </w:r>
    </w:p>
    <w:p w:rsidR="006B6E8A" w:rsidRPr="006B6E8A" w:rsidRDefault="006B6E8A" w:rsidP="006B6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6E8A" w:rsidRPr="006B6E8A" w:rsidRDefault="006B6E8A" w:rsidP="006B6E8A">
      <w:pPr>
        <w:pStyle w:val="Heading2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E8A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2. Ideal Solubility Parameters</w:t>
      </w:r>
    </w:p>
    <w:p w:rsidR="006B6E8A" w:rsidRPr="006B6E8A" w:rsidRDefault="006B6E8A" w:rsidP="006B6E8A">
      <w:pPr>
        <w:pStyle w:val="NormalWeb"/>
        <w:spacing w:line="360" w:lineRule="auto"/>
        <w:jc w:val="both"/>
      </w:pPr>
      <w:r w:rsidRPr="006B6E8A">
        <w:t xml:space="preserve">Solubility parameters are quantitative indices that help determine </w:t>
      </w:r>
      <w:r w:rsidRPr="006B6E8A">
        <w:rPr>
          <w:rStyle w:val="Strong"/>
        </w:rPr>
        <w:t>solubility compatibility</w:t>
      </w:r>
      <w:r w:rsidRPr="006B6E8A">
        <w:t xml:space="preserve"> between solute and solvent. They are based on the principle:</w:t>
      </w:r>
    </w:p>
    <w:p w:rsidR="006B6E8A" w:rsidRPr="006B6E8A" w:rsidRDefault="006B6E8A" w:rsidP="006B6E8A">
      <w:pPr>
        <w:pStyle w:val="Heading3"/>
        <w:spacing w:line="360" w:lineRule="auto"/>
        <w:jc w:val="both"/>
        <w:rPr>
          <w:sz w:val="24"/>
          <w:szCs w:val="24"/>
        </w:rPr>
      </w:pPr>
      <w:r w:rsidRPr="006B6E8A">
        <w:rPr>
          <w:rStyle w:val="Strong"/>
          <w:b/>
          <w:bCs/>
          <w:sz w:val="24"/>
          <w:szCs w:val="24"/>
        </w:rPr>
        <w:t>“Substances with similar solubility parameters are mutually soluble.”</w:t>
      </w:r>
    </w:p>
    <w:p w:rsidR="006B6E8A" w:rsidRPr="006B6E8A" w:rsidRDefault="006B6E8A" w:rsidP="006B6E8A">
      <w:pPr>
        <w:pStyle w:val="NormalWeb"/>
        <w:spacing w:line="360" w:lineRule="auto"/>
        <w:jc w:val="both"/>
      </w:pPr>
      <w:r w:rsidRPr="006B6E8A">
        <w:t xml:space="preserve">This principle is known as </w:t>
      </w:r>
      <w:r w:rsidRPr="006B6E8A">
        <w:rPr>
          <w:rStyle w:val="Strong"/>
        </w:rPr>
        <w:t>Hildebrand–Scatchard theory</w:t>
      </w:r>
      <w:r w:rsidRPr="006B6E8A">
        <w:t>.</w:t>
      </w:r>
    </w:p>
    <w:p w:rsidR="006B6E8A" w:rsidRPr="006B6E8A" w:rsidRDefault="006B6E8A" w:rsidP="006B6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6E8A" w:rsidRPr="006B6E8A" w:rsidRDefault="006B6E8A" w:rsidP="006B6E8A">
      <w:pPr>
        <w:pStyle w:val="Heading3"/>
        <w:spacing w:line="360" w:lineRule="auto"/>
        <w:jc w:val="both"/>
        <w:rPr>
          <w:sz w:val="24"/>
          <w:szCs w:val="24"/>
        </w:rPr>
      </w:pPr>
      <w:r w:rsidRPr="006B6E8A">
        <w:rPr>
          <w:rStyle w:val="Strong"/>
          <w:b/>
          <w:bCs/>
          <w:sz w:val="24"/>
          <w:szCs w:val="24"/>
        </w:rPr>
        <w:t>Hildebrand Solubility Parameter (δ)</w:t>
      </w:r>
    </w:p>
    <w:p w:rsidR="006B6E8A" w:rsidRPr="006B6E8A" w:rsidRDefault="006B6E8A" w:rsidP="006B6E8A">
      <w:pPr>
        <w:pStyle w:val="Heading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E8A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Definition</w:t>
      </w:r>
    </w:p>
    <w:p w:rsidR="006B6E8A" w:rsidRPr="006B6E8A" w:rsidRDefault="006B6E8A" w:rsidP="006B6E8A">
      <w:pPr>
        <w:pStyle w:val="NormalWeb"/>
        <w:spacing w:line="360" w:lineRule="auto"/>
        <w:jc w:val="both"/>
      </w:pPr>
      <w:r w:rsidRPr="006B6E8A">
        <w:t xml:space="preserve">The solubility parameter is the </w:t>
      </w:r>
      <w:r w:rsidRPr="006B6E8A">
        <w:rPr>
          <w:rStyle w:val="Strong"/>
        </w:rPr>
        <w:t>square root of the cohesive energy density (CED)</w:t>
      </w:r>
      <w:r w:rsidRPr="006B6E8A">
        <w:t xml:space="preserve"> of a substance:</w:t>
      </w:r>
    </w:p>
    <w:p w:rsidR="006B6E8A" w:rsidRPr="006B6E8A" w:rsidRDefault="006B6E8A" w:rsidP="006B6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E8A">
        <w:rPr>
          <w:rStyle w:val="katex-mathml"/>
          <w:rFonts w:ascii="Times New Roman" w:hAnsi="Times New Roman" w:cs="Times New Roman"/>
          <w:sz w:val="24"/>
          <w:szCs w:val="24"/>
        </w:rPr>
        <w:t>δ=ΔEvVm\delta = \sqrt{\frac{\Delta E_v}{V_m}}</w:t>
      </w:r>
      <w:r w:rsidRPr="006B6E8A">
        <w:rPr>
          <w:rStyle w:val="mord"/>
          <w:rFonts w:ascii="Times New Roman" w:hAnsi="Times New Roman" w:cs="Times New Roman"/>
          <w:sz w:val="24"/>
          <w:szCs w:val="24"/>
        </w:rPr>
        <w:t>δ</w:t>
      </w:r>
      <w:r w:rsidRPr="006B6E8A">
        <w:rPr>
          <w:rStyle w:val="mrel"/>
          <w:rFonts w:ascii="Times New Roman" w:hAnsi="Times New Roman" w:cs="Times New Roman"/>
          <w:sz w:val="24"/>
          <w:szCs w:val="24"/>
        </w:rPr>
        <w:t>=</w:t>
      </w:r>
      <w:r w:rsidRPr="006B6E8A">
        <w:rPr>
          <w:rStyle w:val="mord"/>
          <w:rFonts w:ascii="Times New Roman" w:hAnsi="Times New Roman" w:cs="Times New Roman"/>
          <w:sz w:val="24"/>
          <w:szCs w:val="24"/>
        </w:rPr>
        <w:t>Vm</w:t>
      </w:r>
      <w:r w:rsidRPr="006B6E8A">
        <w:rPr>
          <w:rStyle w:val="vlist-s"/>
          <w:rFonts w:ascii="Times New Roman" w:hAnsi="Times New Roman" w:cs="Times New Roman"/>
          <w:sz w:val="24"/>
          <w:szCs w:val="24"/>
        </w:rPr>
        <w:t>​</w:t>
      </w:r>
      <w:r w:rsidRPr="006B6E8A">
        <w:rPr>
          <w:rStyle w:val="mord"/>
          <w:rFonts w:ascii="Times New Roman" w:hAnsi="Times New Roman" w:cs="Times New Roman"/>
          <w:sz w:val="24"/>
          <w:szCs w:val="24"/>
        </w:rPr>
        <w:t>ΔEv</w:t>
      </w:r>
      <w:r w:rsidRPr="006B6E8A">
        <w:rPr>
          <w:rStyle w:val="vlist-s"/>
          <w:rFonts w:ascii="Times New Roman" w:hAnsi="Times New Roman" w:cs="Times New Roman"/>
          <w:sz w:val="24"/>
          <w:szCs w:val="24"/>
        </w:rPr>
        <w:t>​​​</w:t>
      </w:r>
      <w:r w:rsidRPr="006B6E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6E8A" w:rsidRPr="006B6E8A" w:rsidRDefault="006B6E8A" w:rsidP="006B6E8A">
      <w:pPr>
        <w:pStyle w:val="NormalWeb"/>
        <w:spacing w:line="360" w:lineRule="auto"/>
        <w:jc w:val="both"/>
      </w:pPr>
      <w:r w:rsidRPr="006B6E8A">
        <w:t>Where:</w:t>
      </w:r>
    </w:p>
    <w:p w:rsidR="006B6E8A" w:rsidRPr="006B6E8A" w:rsidRDefault="006B6E8A" w:rsidP="006B6E8A">
      <w:pPr>
        <w:pStyle w:val="NormalWeb"/>
        <w:numPr>
          <w:ilvl w:val="0"/>
          <w:numId w:val="17"/>
        </w:numPr>
        <w:spacing w:line="360" w:lineRule="auto"/>
        <w:jc w:val="both"/>
      </w:pPr>
      <w:r w:rsidRPr="006B6E8A">
        <w:rPr>
          <w:rStyle w:val="Strong"/>
        </w:rPr>
        <w:t>ΔEᵥ</w:t>
      </w:r>
      <w:r w:rsidRPr="006B6E8A">
        <w:t xml:space="preserve"> = energy of vaporization</w:t>
      </w:r>
    </w:p>
    <w:p w:rsidR="006B6E8A" w:rsidRPr="006B6E8A" w:rsidRDefault="006B6E8A" w:rsidP="006B6E8A">
      <w:pPr>
        <w:pStyle w:val="NormalWeb"/>
        <w:numPr>
          <w:ilvl w:val="0"/>
          <w:numId w:val="17"/>
        </w:numPr>
        <w:spacing w:line="360" w:lineRule="auto"/>
        <w:jc w:val="both"/>
      </w:pPr>
      <w:r w:rsidRPr="006B6E8A">
        <w:rPr>
          <w:rStyle w:val="Strong"/>
        </w:rPr>
        <w:t>Vₘ</w:t>
      </w:r>
      <w:r w:rsidRPr="006B6E8A">
        <w:t xml:space="preserve"> = molar volume of the solute</w:t>
      </w:r>
    </w:p>
    <w:p w:rsidR="006B6E8A" w:rsidRPr="006B6E8A" w:rsidRDefault="006B6E8A" w:rsidP="006B6E8A">
      <w:pPr>
        <w:pStyle w:val="NormalWeb"/>
        <w:spacing w:line="360" w:lineRule="auto"/>
        <w:jc w:val="both"/>
      </w:pPr>
      <w:r w:rsidRPr="006B6E8A">
        <w:rPr>
          <w:rStyle w:val="Strong"/>
        </w:rPr>
        <w:t>Unit:</w:t>
      </w:r>
      <w:r w:rsidRPr="006B6E8A">
        <w:t xml:space="preserve"> (cal/cm³)¹/² or (MPa)¹/²</w:t>
      </w:r>
    </w:p>
    <w:p w:rsidR="006B6E8A" w:rsidRPr="006B6E8A" w:rsidRDefault="006B6E8A" w:rsidP="006B6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6E8A" w:rsidRPr="006B6E8A" w:rsidRDefault="006B6E8A" w:rsidP="006B6E8A">
      <w:pPr>
        <w:pStyle w:val="Heading3"/>
        <w:spacing w:line="360" w:lineRule="auto"/>
        <w:jc w:val="both"/>
        <w:rPr>
          <w:sz w:val="24"/>
          <w:szCs w:val="24"/>
        </w:rPr>
      </w:pPr>
      <w:r w:rsidRPr="006B6E8A">
        <w:rPr>
          <w:rStyle w:val="Strong"/>
          <w:b/>
          <w:bCs/>
          <w:sz w:val="24"/>
          <w:szCs w:val="24"/>
        </w:rPr>
        <w:t>Significance</w:t>
      </w:r>
    </w:p>
    <w:p w:rsidR="006B6E8A" w:rsidRPr="006B6E8A" w:rsidRDefault="006B6E8A" w:rsidP="006B6E8A">
      <w:pPr>
        <w:pStyle w:val="NormalWeb"/>
        <w:numPr>
          <w:ilvl w:val="0"/>
          <w:numId w:val="18"/>
        </w:numPr>
        <w:spacing w:line="360" w:lineRule="auto"/>
        <w:jc w:val="both"/>
      </w:pPr>
      <w:r w:rsidRPr="006B6E8A">
        <w:rPr>
          <w:rStyle w:val="Strong"/>
        </w:rPr>
        <w:t>If δ(solute) ≈ δ(solvent), the solute dissolves</w:t>
      </w:r>
      <w:r w:rsidRPr="006B6E8A">
        <w:t xml:space="preserve"> easily.</w:t>
      </w:r>
    </w:p>
    <w:p w:rsidR="006B6E8A" w:rsidRPr="006B6E8A" w:rsidRDefault="006B6E8A" w:rsidP="006B6E8A">
      <w:pPr>
        <w:pStyle w:val="NormalWeb"/>
        <w:numPr>
          <w:ilvl w:val="0"/>
          <w:numId w:val="18"/>
        </w:numPr>
        <w:spacing w:line="360" w:lineRule="auto"/>
        <w:jc w:val="both"/>
      </w:pPr>
      <w:r w:rsidRPr="006B6E8A">
        <w:t xml:space="preserve">Difference greater than </w:t>
      </w:r>
      <w:r w:rsidRPr="006B6E8A">
        <w:rPr>
          <w:rStyle w:val="Strong"/>
        </w:rPr>
        <w:t>2 units</w:t>
      </w:r>
      <w:r w:rsidRPr="006B6E8A">
        <w:t xml:space="preserve"> indicates poor solubility.</w:t>
      </w:r>
    </w:p>
    <w:p w:rsidR="006B6E8A" w:rsidRPr="006B6E8A" w:rsidRDefault="006B6E8A" w:rsidP="006B6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6E8A" w:rsidRPr="006B6E8A" w:rsidRDefault="006B6E8A" w:rsidP="006B6E8A">
      <w:pPr>
        <w:pStyle w:val="Heading3"/>
        <w:spacing w:line="360" w:lineRule="auto"/>
        <w:jc w:val="both"/>
        <w:rPr>
          <w:sz w:val="24"/>
          <w:szCs w:val="24"/>
        </w:rPr>
      </w:pPr>
      <w:r w:rsidRPr="006B6E8A">
        <w:rPr>
          <w:rStyle w:val="Strong"/>
          <w:b/>
          <w:bCs/>
          <w:sz w:val="24"/>
          <w:szCs w:val="24"/>
        </w:rPr>
        <w:t>Applications of Solubility Parameters in Pharmacy</w:t>
      </w:r>
    </w:p>
    <w:p w:rsidR="006B6E8A" w:rsidRPr="006B6E8A" w:rsidRDefault="006B6E8A" w:rsidP="006B6E8A">
      <w:pPr>
        <w:pStyle w:val="NormalWeb"/>
        <w:numPr>
          <w:ilvl w:val="0"/>
          <w:numId w:val="19"/>
        </w:numPr>
        <w:spacing w:line="360" w:lineRule="auto"/>
        <w:jc w:val="both"/>
      </w:pPr>
      <w:r w:rsidRPr="006B6E8A">
        <w:rPr>
          <w:rStyle w:val="Strong"/>
        </w:rPr>
        <w:lastRenderedPageBreak/>
        <w:t>Selection of appropriate solvent systems</w:t>
      </w:r>
    </w:p>
    <w:p w:rsidR="006B6E8A" w:rsidRPr="006B6E8A" w:rsidRDefault="006B6E8A" w:rsidP="006B6E8A">
      <w:pPr>
        <w:pStyle w:val="NormalWeb"/>
        <w:numPr>
          <w:ilvl w:val="1"/>
          <w:numId w:val="19"/>
        </w:numPr>
        <w:spacing w:line="360" w:lineRule="auto"/>
        <w:jc w:val="both"/>
      </w:pPr>
      <w:r w:rsidRPr="006B6E8A">
        <w:t>Helps in choosing excipients for poorly soluble drugs.</w:t>
      </w:r>
    </w:p>
    <w:p w:rsidR="006B6E8A" w:rsidRPr="006B6E8A" w:rsidRDefault="006B6E8A" w:rsidP="006B6E8A">
      <w:pPr>
        <w:pStyle w:val="NormalWeb"/>
        <w:numPr>
          <w:ilvl w:val="0"/>
          <w:numId w:val="19"/>
        </w:numPr>
        <w:spacing w:line="360" w:lineRule="auto"/>
        <w:jc w:val="both"/>
      </w:pPr>
      <w:r w:rsidRPr="006B6E8A">
        <w:rPr>
          <w:rStyle w:val="Strong"/>
        </w:rPr>
        <w:t>Prediction of drug–polymer compatibility</w:t>
      </w:r>
    </w:p>
    <w:p w:rsidR="006B6E8A" w:rsidRPr="006B6E8A" w:rsidRDefault="006B6E8A" w:rsidP="006B6E8A">
      <w:pPr>
        <w:pStyle w:val="NormalWeb"/>
        <w:numPr>
          <w:ilvl w:val="1"/>
          <w:numId w:val="19"/>
        </w:numPr>
        <w:spacing w:line="360" w:lineRule="auto"/>
        <w:jc w:val="both"/>
      </w:pPr>
      <w:r w:rsidRPr="006B6E8A">
        <w:t>Crucial for sustained-release dosage forms.</w:t>
      </w:r>
    </w:p>
    <w:p w:rsidR="006B6E8A" w:rsidRPr="006B6E8A" w:rsidRDefault="006B6E8A" w:rsidP="006B6E8A">
      <w:pPr>
        <w:pStyle w:val="NormalWeb"/>
        <w:numPr>
          <w:ilvl w:val="0"/>
          <w:numId w:val="19"/>
        </w:numPr>
        <w:spacing w:line="360" w:lineRule="auto"/>
        <w:jc w:val="both"/>
      </w:pPr>
      <w:r w:rsidRPr="006B6E8A">
        <w:rPr>
          <w:rStyle w:val="Strong"/>
        </w:rPr>
        <w:t>Optimization of topical and transdermal formulations</w:t>
      </w:r>
    </w:p>
    <w:p w:rsidR="006B6E8A" w:rsidRPr="006B6E8A" w:rsidRDefault="006B6E8A" w:rsidP="006B6E8A">
      <w:pPr>
        <w:pStyle w:val="NormalWeb"/>
        <w:numPr>
          <w:ilvl w:val="1"/>
          <w:numId w:val="19"/>
        </w:numPr>
        <w:spacing w:line="360" w:lineRule="auto"/>
        <w:jc w:val="both"/>
      </w:pPr>
      <w:r w:rsidRPr="006B6E8A">
        <w:t>Identifies suitable penetration enhancers.</w:t>
      </w:r>
    </w:p>
    <w:p w:rsidR="006B6E8A" w:rsidRPr="006B6E8A" w:rsidRDefault="006B6E8A" w:rsidP="006B6E8A">
      <w:pPr>
        <w:pStyle w:val="NormalWeb"/>
        <w:numPr>
          <w:ilvl w:val="0"/>
          <w:numId w:val="19"/>
        </w:numPr>
        <w:spacing w:line="360" w:lineRule="auto"/>
        <w:jc w:val="both"/>
      </w:pPr>
      <w:r w:rsidRPr="006B6E8A">
        <w:rPr>
          <w:rStyle w:val="Strong"/>
        </w:rPr>
        <w:t>Enhancing drug solubility</w:t>
      </w:r>
    </w:p>
    <w:p w:rsidR="006B6E8A" w:rsidRPr="006B6E8A" w:rsidRDefault="006B6E8A" w:rsidP="006B6E8A">
      <w:pPr>
        <w:pStyle w:val="NormalWeb"/>
        <w:numPr>
          <w:ilvl w:val="1"/>
          <w:numId w:val="19"/>
        </w:numPr>
        <w:spacing w:line="360" w:lineRule="auto"/>
        <w:jc w:val="both"/>
      </w:pPr>
      <w:r w:rsidRPr="006B6E8A">
        <w:t>Guides co-solvent selection for formulations like injections and suspensions.</w:t>
      </w:r>
    </w:p>
    <w:p w:rsidR="006B6E8A" w:rsidRPr="006B6E8A" w:rsidRDefault="006B6E8A" w:rsidP="006B6E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6E8A" w:rsidRPr="006B6E8A" w:rsidRDefault="006B6E8A" w:rsidP="006B6E8A">
      <w:pPr>
        <w:pStyle w:val="Heading3"/>
        <w:spacing w:line="360" w:lineRule="auto"/>
        <w:jc w:val="both"/>
        <w:rPr>
          <w:sz w:val="24"/>
          <w:szCs w:val="24"/>
        </w:rPr>
      </w:pPr>
      <w:r w:rsidRPr="006B6E8A">
        <w:rPr>
          <w:rStyle w:val="Strong"/>
          <w:b/>
          <w:bCs/>
          <w:sz w:val="24"/>
          <w:szCs w:val="24"/>
        </w:rPr>
        <w:t>Ideal Solubility Concept</w:t>
      </w:r>
    </w:p>
    <w:p w:rsidR="006B6E8A" w:rsidRPr="006B6E8A" w:rsidRDefault="006B6E8A" w:rsidP="006B6E8A">
      <w:pPr>
        <w:pStyle w:val="NormalWeb"/>
        <w:spacing w:line="360" w:lineRule="auto"/>
        <w:jc w:val="both"/>
      </w:pPr>
      <w:r w:rsidRPr="006B6E8A">
        <w:t xml:space="preserve">The </w:t>
      </w:r>
      <w:r w:rsidRPr="006B6E8A">
        <w:rPr>
          <w:rStyle w:val="Strong"/>
        </w:rPr>
        <w:t>ideal solubility</w:t>
      </w:r>
      <w:r w:rsidRPr="006B6E8A">
        <w:t xml:space="preserve"> of a crystalline solute in a solvent can be calculated using thermodynamic equations incorporating:</w:t>
      </w:r>
    </w:p>
    <w:p w:rsidR="006B6E8A" w:rsidRPr="006B6E8A" w:rsidRDefault="006B6E8A" w:rsidP="006B6E8A">
      <w:pPr>
        <w:pStyle w:val="NormalWeb"/>
        <w:numPr>
          <w:ilvl w:val="0"/>
          <w:numId w:val="20"/>
        </w:numPr>
        <w:spacing w:line="360" w:lineRule="auto"/>
        <w:jc w:val="both"/>
      </w:pPr>
      <w:r w:rsidRPr="006B6E8A">
        <w:t>Heat of fusion (ΔHf)</w:t>
      </w:r>
    </w:p>
    <w:p w:rsidR="006B6E8A" w:rsidRPr="006B6E8A" w:rsidRDefault="006B6E8A" w:rsidP="006B6E8A">
      <w:pPr>
        <w:pStyle w:val="NormalWeb"/>
        <w:numPr>
          <w:ilvl w:val="0"/>
          <w:numId w:val="20"/>
        </w:numPr>
        <w:spacing w:line="360" w:lineRule="auto"/>
        <w:jc w:val="both"/>
      </w:pPr>
      <w:r w:rsidRPr="006B6E8A">
        <w:t>Melting point (Tm)</w:t>
      </w:r>
    </w:p>
    <w:p w:rsidR="006B6E8A" w:rsidRPr="006B6E8A" w:rsidRDefault="006B6E8A" w:rsidP="006B6E8A">
      <w:pPr>
        <w:pStyle w:val="NormalWeb"/>
        <w:numPr>
          <w:ilvl w:val="0"/>
          <w:numId w:val="20"/>
        </w:numPr>
        <w:spacing w:line="360" w:lineRule="auto"/>
        <w:jc w:val="both"/>
      </w:pPr>
      <w:r w:rsidRPr="006B6E8A">
        <w:t>Temperature of solution</w:t>
      </w:r>
    </w:p>
    <w:p w:rsidR="006B6E8A" w:rsidRPr="006B6E8A" w:rsidRDefault="006B6E8A" w:rsidP="006B6E8A">
      <w:pPr>
        <w:pStyle w:val="NormalWeb"/>
        <w:spacing w:line="360" w:lineRule="auto"/>
        <w:jc w:val="both"/>
      </w:pPr>
      <w:r w:rsidRPr="006B6E8A">
        <w:t>The equation demonstrates that a solute dissolves ideally without structural changes, assuming no specific interactions.</w:t>
      </w:r>
    </w:p>
    <w:p w:rsidR="00DB570F" w:rsidRPr="00D43D7E" w:rsidRDefault="00DB570F" w:rsidP="00D43D7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B570F" w:rsidRPr="00D43D7E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71E" w:rsidRDefault="00CB371E" w:rsidP="00DB570F">
      <w:pPr>
        <w:spacing w:after="0" w:line="240" w:lineRule="auto"/>
      </w:pPr>
      <w:r>
        <w:separator/>
      </w:r>
    </w:p>
  </w:endnote>
  <w:endnote w:type="continuationSeparator" w:id="0">
    <w:p w:rsidR="00CB371E" w:rsidRDefault="00CB371E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A22D2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- 3</w:t>
    </w:r>
    <w:r>
      <w:rPr>
        <w:rFonts w:ascii="Times New Roman" w:hAnsi="Times New Roman" w:cs="Times New Roman"/>
        <w:sz w:val="16"/>
        <w:vertAlign w:val="superscript"/>
      </w:rPr>
      <w:t xml:space="preserve">rd </w:t>
    </w:r>
    <w:r>
      <w:rPr>
        <w:rFonts w:ascii="Times New Roman" w:hAnsi="Times New Roman" w:cs="Times New Roman"/>
        <w:sz w:val="16"/>
      </w:rPr>
      <w:t xml:space="preserve">  SEMESTER(2025-2026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71E" w:rsidRDefault="00CB371E" w:rsidP="00DB570F">
      <w:pPr>
        <w:spacing w:after="0" w:line="240" w:lineRule="auto"/>
      </w:pPr>
      <w:r>
        <w:separator/>
      </w:r>
    </w:p>
  </w:footnote>
  <w:footnote w:type="continuationSeparator" w:id="0">
    <w:p w:rsidR="00CB371E" w:rsidRDefault="00CB371E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CB371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D95CB3">
          <w:rPr>
            <w:noProof/>
          </w:rPr>
          <w:fldChar w:fldCharType="begin"/>
        </w:r>
        <w:r w:rsidR="00D95CB3">
          <w:rPr>
            <w:noProof/>
          </w:rPr>
          <w:instrText xml:space="preserve"> PAGE   \* MERGEFORMAT </w:instrText>
        </w:r>
        <w:r w:rsidR="00D95CB3">
          <w:rPr>
            <w:noProof/>
          </w:rPr>
          <w:fldChar w:fldCharType="separate"/>
        </w:r>
        <w:r w:rsidR="006B6E8A">
          <w:rPr>
            <w:noProof/>
          </w:rPr>
          <w:t>4</w:t>
        </w:r>
        <w:r w:rsidR="00D95CB3">
          <w:rPr>
            <w:noProof/>
          </w:rPr>
          <w:fldChar w:fldCharType="end"/>
        </w:r>
      </w:p>
    </w:sdtContent>
  </w:sdt>
  <w:p w:rsidR="00DB570F" w:rsidRPr="00F0040D" w:rsidRDefault="00CB371E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CB371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B6D60"/>
    <w:multiLevelType w:val="multilevel"/>
    <w:tmpl w:val="81AC2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B23C0"/>
    <w:multiLevelType w:val="multilevel"/>
    <w:tmpl w:val="81A66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573668"/>
    <w:multiLevelType w:val="multilevel"/>
    <w:tmpl w:val="F55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C62CB7"/>
    <w:multiLevelType w:val="multilevel"/>
    <w:tmpl w:val="5A6C6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40252E"/>
    <w:multiLevelType w:val="multilevel"/>
    <w:tmpl w:val="08342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0D77C3"/>
    <w:multiLevelType w:val="multilevel"/>
    <w:tmpl w:val="A4D87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F406B6"/>
    <w:multiLevelType w:val="multilevel"/>
    <w:tmpl w:val="5C825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1C71FF"/>
    <w:multiLevelType w:val="multilevel"/>
    <w:tmpl w:val="1446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745D5A"/>
    <w:multiLevelType w:val="multilevel"/>
    <w:tmpl w:val="188A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0B02B4"/>
    <w:multiLevelType w:val="multilevel"/>
    <w:tmpl w:val="B508A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441BED"/>
    <w:multiLevelType w:val="multilevel"/>
    <w:tmpl w:val="00B0B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710B25"/>
    <w:multiLevelType w:val="multilevel"/>
    <w:tmpl w:val="8674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143C12"/>
    <w:multiLevelType w:val="multilevel"/>
    <w:tmpl w:val="76923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1E2A55"/>
    <w:multiLevelType w:val="multilevel"/>
    <w:tmpl w:val="725E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1E2DB1"/>
    <w:multiLevelType w:val="multilevel"/>
    <w:tmpl w:val="4E1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29577A"/>
    <w:multiLevelType w:val="multilevel"/>
    <w:tmpl w:val="744E4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4"/>
  </w:num>
  <w:num w:numId="3">
    <w:abstractNumId w:val="14"/>
  </w:num>
  <w:num w:numId="4">
    <w:abstractNumId w:val="2"/>
  </w:num>
  <w:num w:numId="5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2"/>
  </w:num>
  <w:num w:numId="9">
    <w:abstractNumId w:val="12"/>
  </w:num>
  <w:num w:numId="10">
    <w:abstractNumId w:val="1"/>
  </w:num>
  <w:num w:numId="11">
    <w:abstractNumId w:val="6"/>
  </w:num>
  <w:num w:numId="12">
    <w:abstractNumId w:val="15"/>
  </w:num>
  <w:num w:numId="13">
    <w:abstractNumId w:val="7"/>
  </w:num>
  <w:num w:numId="14">
    <w:abstractNumId w:val="5"/>
  </w:num>
  <w:num w:numId="15">
    <w:abstractNumId w:val="9"/>
  </w:num>
  <w:num w:numId="16">
    <w:abstractNumId w:val="10"/>
  </w:num>
  <w:num w:numId="17">
    <w:abstractNumId w:val="8"/>
  </w:num>
  <w:num w:numId="18">
    <w:abstractNumId w:val="0"/>
  </w:num>
  <w:num w:numId="19">
    <w:abstractNumId w:val="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0F41B4"/>
    <w:rsid w:val="00113017"/>
    <w:rsid w:val="00123191"/>
    <w:rsid w:val="00242B5E"/>
    <w:rsid w:val="002C0628"/>
    <w:rsid w:val="00377796"/>
    <w:rsid w:val="004406AC"/>
    <w:rsid w:val="00491A34"/>
    <w:rsid w:val="004C37A3"/>
    <w:rsid w:val="0050689C"/>
    <w:rsid w:val="00517FE9"/>
    <w:rsid w:val="00541D2F"/>
    <w:rsid w:val="005613D7"/>
    <w:rsid w:val="00657CCB"/>
    <w:rsid w:val="006B6E8A"/>
    <w:rsid w:val="007300CE"/>
    <w:rsid w:val="00751766"/>
    <w:rsid w:val="00767F40"/>
    <w:rsid w:val="008D61C5"/>
    <w:rsid w:val="008F2DB3"/>
    <w:rsid w:val="009517CE"/>
    <w:rsid w:val="00997E8F"/>
    <w:rsid w:val="009A76D7"/>
    <w:rsid w:val="009C02E7"/>
    <w:rsid w:val="009E68EC"/>
    <w:rsid w:val="00A22D24"/>
    <w:rsid w:val="00A37C51"/>
    <w:rsid w:val="00A8407A"/>
    <w:rsid w:val="00AF052D"/>
    <w:rsid w:val="00B06C2F"/>
    <w:rsid w:val="00B9514D"/>
    <w:rsid w:val="00BA3D19"/>
    <w:rsid w:val="00BC37A9"/>
    <w:rsid w:val="00C30118"/>
    <w:rsid w:val="00C45B4E"/>
    <w:rsid w:val="00C603C6"/>
    <w:rsid w:val="00C77CD8"/>
    <w:rsid w:val="00CB371E"/>
    <w:rsid w:val="00D43D7E"/>
    <w:rsid w:val="00D95CB3"/>
    <w:rsid w:val="00DA1A81"/>
    <w:rsid w:val="00DA41B8"/>
    <w:rsid w:val="00DB570F"/>
    <w:rsid w:val="00E2197E"/>
    <w:rsid w:val="00E8546D"/>
    <w:rsid w:val="00F0040D"/>
    <w:rsid w:val="00F423D3"/>
    <w:rsid w:val="00F54B91"/>
    <w:rsid w:val="00F7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56A765-968F-48C1-A43B-D405215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6E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2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6E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3Char">
    <w:name w:val="Heading 3 Char"/>
    <w:basedOn w:val="DefaultParagraphFont"/>
    <w:link w:val="Heading3"/>
    <w:uiPriority w:val="9"/>
    <w:rsid w:val="00A22D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D2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6E8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6E8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katex-mathml">
    <w:name w:val="katex-mathml"/>
    <w:basedOn w:val="DefaultParagraphFont"/>
    <w:rsid w:val="006B6E8A"/>
  </w:style>
  <w:style w:type="character" w:customStyle="1" w:styleId="mord">
    <w:name w:val="mord"/>
    <w:basedOn w:val="DefaultParagraphFont"/>
    <w:rsid w:val="006B6E8A"/>
  </w:style>
  <w:style w:type="character" w:customStyle="1" w:styleId="mrel">
    <w:name w:val="mrel"/>
    <w:basedOn w:val="DefaultParagraphFont"/>
    <w:rsid w:val="006B6E8A"/>
  </w:style>
  <w:style w:type="character" w:customStyle="1" w:styleId="vlist-s">
    <w:name w:val="vlist-s"/>
    <w:basedOn w:val="DefaultParagraphFont"/>
    <w:rsid w:val="006B6E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2025-11-28T05:17:00Z</dcterms:created>
  <dcterms:modified xsi:type="dcterms:W3CDTF">2025-11-28T05:17:00Z</dcterms:modified>
</cp:coreProperties>
</file>