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A8407A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3(</w:t>
      </w:r>
      <w:r w:rsidR="00D810A8" w:rsidRPr="00D810A8">
        <w:rPr>
          <w:rFonts w:ascii="Times New Roman" w:hAnsi="Times New Roman" w:cs="Times New Roman"/>
          <w:sz w:val="24"/>
          <w:szCs w:val="24"/>
        </w:rPr>
        <w:t>SOLUBILITY OF DRUGS</w:t>
      </w:r>
      <w:r w:rsidR="00D810A8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D810A8">
        <w:rPr>
          <w:rFonts w:ascii="Times New Roman" w:hAnsi="Times New Roman" w:cs="Times New Roman"/>
          <w:sz w:val="24"/>
          <w:szCs w:val="24"/>
        </w:rPr>
        <w:t>1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B06C2F" w:rsidRPr="00D810A8" w:rsidRDefault="00DA1A81" w:rsidP="00B06C2F">
      <w:pPr>
        <w:jc w:val="center"/>
        <w:rPr>
          <w:rFonts w:cstheme="minorHAnsi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A8407A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 w:rsidR="00D810A8" w:rsidRPr="00D810A8">
        <w:rPr>
          <w:rFonts w:cstheme="minorHAnsi"/>
          <w:b/>
          <w:color w:val="FF0000"/>
          <w:sz w:val="28"/>
          <w:szCs w:val="28"/>
          <w:u w:val="single"/>
        </w:rPr>
        <w:t>SOLUBILITY OF DRUGS: SOLUBILITY EXPRESSIONS</w:t>
      </w:r>
    </w:p>
    <w:bookmarkEnd w:id="0"/>
    <w:p w:rsidR="00D810A8" w:rsidRPr="00D810A8" w:rsidRDefault="00D810A8" w:rsidP="00D810A8">
      <w:pPr>
        <w:pStyle w:val="Heading3"/>
        <w:spacing w:line="360" w:lineRule="auto"/>
        <w:jc w:val="both"/>
        <w:rPr>
          <w:sz w:val="28"/>
          <w:szCs w:val="28"/>
        </w:rPr>
      </w:pPr>
      <w:r w:rsidRPr="00D810A8">
        <w:rPr>
          <w:rStyle w:val="Strong"/>
          <w:b/>
          <w:bCs/>
          <w:sz w:val="28"/>
          <w:szCs w:val="28"/>
        </w:rPr>
        <w:t>Introduction</w:t>
      </w:r>
    </w:p>
    <w:p w:rsidR="00D810A8" w:rsidRPr="00D810A8" w:rsidRDefault="00D810A8" w:rsidP="00D810A8">
      <w:pPr>
        <w:pStyle w:val="NormalWeb"/>
        <w:spacing w:line="360" w:lineRule="auto"/>
        <w:jc w:val="both"/>
        <w:rPr>
          <w:sz w:val="28"/>
          <w:szCs w:val="28"/>
        </w:rPr>
      </w:pPr>
      <w:r w:rsidRPr="00D810A8">
        <w:rPr>
          <w:sz w:val="28"/>
          <w:szCs w:val="28"/>
        </w:rPr>
        <w:t xml:space="preserve">Solubility is a fundamental physicochemical property that determines how well a drug dissolves in a solvent. In pharmaceuticals, the solubility of a drug greatly influences its </w:t>
      </w:r>
      <w:r w:rsidRPr="00D810A8">
        <w:rPr>
          <w:rStyle w:val="Strong"/>
          <w:sz w:val="28"/>
          <w:szCs w:val="28"/>
        </w:rPr>
        <w:t>bioavailability, therapeutic effectiveness, drug absorption, and formulation design</w:t>
      </w:r>
      <w:r w:rsidRPr="00D810A8">
        <w:rPr>
          <w:sz w:val="28"/>
          <w:szCs w:val="28"/>
        </w:rPr>
        <w:t>. Poorly soluble drugs often show low absorption and reduced therapeutic action.</w:t>
      </w:r>
    </w:p>
    <w:p w:rsidR="00D810A8" w:rsidRPr="00D810A8" w:rsidRDefault="00D810A8" w:rsidP="00D810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0A8" w:rsidRPr="00D810A8" w:rsidRDefault="00D810A8" w:rsidP="00D810A8">
      <w:pPr>
        <w:pStyle w:val="Heading3"/>
        <w:spacing w:line="360" w:lineRule="auto"/>
        <w:jc w:val="both"/>
        <w:rPr>
          <w:sz w:val="28"/>
          <w:szCs w:val="28"/>
        </w:rPr>
      </w:pPr>
      <w:r w:rsidRPr="00D810A8">
        <w:rPr>
          <w:rStyle w:val="Strong"/>
          <w:b/>
          <w:bCs/>
          <w:sz w:val="28"/>
          <w:szCs w:val="28"/>
        </w:rPr>
        <w:t>Definition of Solubility</w:t>
      </w:r>
    </w:p>
    <w:p w:rsidR="00D810A8" w:rsidRPr="00D810A8" w:rsidRDefault="00D810A8" w:rsidP="00D810A8">
      <w:pPr>
        <w:pStyle w:val="NormalWeb"/>
        <w:spacing w:line="360" w:lineRule="auto"/>
        <w:jc w:val="both"/>
        <w:rPr>
          <w:sz w:val="28"/>
          <w:szCs w:val="28"/>
        </w:rPr>
      </w:pPr>
      <w:r w:rsidRPr="00D810A8">
        <w:rPr>
          <w:sz w:val="28"/>
          <w:szCs w:val="28"/>
        </w:rPr>
        <w:t xml:space="preserve">Solubility is defined as the </w:t>
      </w:r>
      <w:r w:rsidRPr="00D810A8">
        <w:rPr>
          <w:rStyle w:val="Strong"/>
          <w:sz w:val="28"/>
          <w:szCs w:val="28"/>
        </w:rPr>
        <w:t>maximum amount of solute</w:t>
      </w:r>
      <w:r w:rsidRPr="00D810A8">
        <w:rPr>
          <w:sz w:val="28"/>
          <w:szCs w:val="28"/>
        </w:rPr>
        <w:t xml:space="preserve"> that can dissolve in a given amount of solvent at a specified temperature and pressure to form a </w:t>
      </w:r>
      <w:r w:rsidRPr="00D810A8">
        <w:rPr>
          <w:rStyle w:val="Strong"/>
          <w:sz w:val="28"/>
          <w:szCs w:val="28"/>
        </w:rPr>
        <w:t>homogeneous solution</w:t>
      </w:r>
      <w:r w:rsidRPr="00D810A8">
        <w:rPr>
          <w:sz w:val="28"/>
          <w:szCs w:val="28"/>
        </w:rPr>
        <w:t>.</w:t>
      </w:r>
    </w:p>
    <w:p w:rsidR="00D810A8" w:rsidRPr="00D810A8" w:rsidRDefault="00D810A8" w:rsidP="00D810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0A8" w:rsidRPr="00D810A8" w:rsidRDefault="00D810A8" w:rsidP="00D810A8">
      <w:pPr>
        <w:pStyle w:val="Heading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0A8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SOLUBILITY EXPRESSIONS</w:t>
      </w:r>
    </w:p>
    <w:p w:rsidR="00D810A8" w:rsidRPr="00D810A8" w:rsidRDefault="00D810A8" w:rsidP="00D810A8">
      <w:pPr>
        <w:pStyle w:val="NormalWeb"/>
        <w:spacing w:line="360" w:lineRule="auto"/>
        <w:jc w:val="both"/>
        <w:rPr>
          <w:sz w:val="28"/>
          <w:szCs w:val="28"/>
        </w:rPr>
      </w:pPr>
      <w:r w:rsidRPr="00D810A8">
        <w:rPr>
          <w:sz w:val="28"/>
          <w:szCs w:val="28"/>
        </w:rPr>
        <w:t>Solubility can be expressed in several ways. These expressions help to quantify the amount of drug that can dissolve and guide formulators in selecting suitable dosage forms.</w:t>
      </w:r>
    </w:p>
    <w:p w:rsidR="00D810A8" w:rsidRPr="00D810A8" w:rsidRDefault="00D810A8" w:rsidP="00D810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0A8" w:rsidRPr="00D810A8" w:rsidRDefault="00D810A8" w:rsidP="00D810A8">
      <w:pPr>
        <w:pStyle w:val="Heading3"/>
        <w:spacing w:line="360" w:lineRule="auto"/>
        <w:jc w:val="both"/>
        <w:rPr>
          <w:sz w:val="28"/>
          <w:szCs w:val="28"/>
        </w:rPr>
      </w:pPr>
      <w:r w:rsidRPr="00D810A8">
        <w:rPr>
          <w:rStyle w:val="Strong"/>
          <w:b/>
          <w:bCs/>
          <w:sz w:val="28"/>
          <w:szCs w:val="28"/>
        </w:rPr>
        <w:t>1. Qualitative Solubility Terms (USP/NF System)</w:t>
      </w:r>
    </w:p>
    <w:p w:rsidR="00D810A8" w:rsidRPr="00D810A8" w:rsidRDefault="00D810A8" w:rsidP="00D810A8">
      <w:pPr>
        <w:pStyle w:val="NormalWeb"/>
        <w:spacing w:line="360" w:lineRule="auto"/>
        <w:jc w:val="both"/>
        <w:rPr>
          <w:sz w:val="28"/>
          <w:szCs w:val="28"/>
        </w:rPr>
      </w:pPr>
      <w:r w:rsidRPr="00D810A8">
        <w:rPr>
          <w:sz w:val="28"/>
          <w:szCs w:val="28"/>
        </w:rPr>
        <w:t xml:space="preserve">The </w:t>
      </w:r>
      <w:r w:rsidRPr="00D810A8">
        <w:rPr>
          <w:rStyle w:val="Strong"/>
          <w:sz w:val="28"/>
          <w:szCs w:val="28"/>
        </w:rPr>
        <w:t>United States Pharmacopeia (USP)</w:t>
      </w:r>
      <w:r w:rsidRPr="00D810A8">
        <w:rPr>
          <w:sz w:val="28"/>
          <w:szCs w:val="28"/>
        </w:rPr>
        <w:t xml:space="preserve"> classifies solubility based on the volume of solvent required to dissolve 1 part of solute: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3"/>
        <w:gridCol w:w="5216"/>
      </w:tblGrid>
      <w:tr w:rsidR="00D810A8" w:rsidRPr="00D810A8" w:rsidTr="00D810A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810A8" w:rsidRPr="00D810A8" w:rsidRDefault="00D810A8" w:rsidP="00D810A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10A8">
              <w:rPr>
                <w:rStyle w:val="Strong"/>
                <w:rFonts w:ascii="Times New Roman" w:hAnsi="Times New Roman" w:cs="Times New Roman"/>
                <w:sz w:val="28"/>
                <w:szCs w:val="28"/>
              </w:rPr>
              <w:t>Descriptive Term</w:t>
            </w:r>
          </w:p>
        </w:tc>
        <w:tc>
          <w:tcPr>
            <w:tcW w:w="0" w:type="auto"/>
            <w:vAlign w:val="center"/>
            <w:hideMark/>
          </w:tcPr>
          <w:p w:rsidR="00D810A8" w:rsidRPr="00D810A8" w:rsidRDefault="00D810A8" w:rsidP="00D810A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10A8">
              <w:rPr>
                <w:rStyle w:val="Strong"/>
                <w:rFonts w:ascii="Times New Roman" w:hAnsi="Times New Roman" w:cs="Times New Roman"/>
                <w:sz w:val="28"/>
                <w:szCs w:val="28"/>
              </w:rPr>
              <w:t>Parts of Solvent Required for 1 Part Solute</w:t>
            </w:r>
          </w:p>
        </w:tc>
      </w:tr>
      <w:tr w:rsidR="00D810A8" w:rsidRPr="00D810A8" w:rsidTr="00D810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10A8" w:rsidRPr="00D810A8" w:rsidRDefault="00D810A8" w:rsidP="00D810A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0A8">
              <w:rPr>
                <w:rStyle w:val="Strong"/>
                <w:rFonts w:ascii="Times New Roman" w:hAnsi="Times New Roman" w:cs="Times New Roman"/>
                <w:sz w:val="28"/>
                <w:szCs w:val="28"/>
              </w:rPr>
              <w:t>Very soluble</w:t>
            </w:r>
          </w:p>
        </w:tc>
        <w:tc>
          <w:tcPr>
            <w:tcW w:w="0" w:type="auto"/>
            <w:vAlign w:val="center"/>
            <w:hideMark/>
          </w:tcPr>
          <w:p w:rsidR="00D810A8" w:rsidRPr="00D810A8" w:rsidRDefault="00D810A8" w:rsidP="00D810A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0A8">
              <w:rPr>
                <w:rFonts w:ascii="Times New Roman" w:hAnsi="Times New Roman" w:cs="Times New Roman"/>
                <w:sz w:val="28"/>
                <w:szCs w:val="28"/>
              </w:rPr>
              <w:t>Less than 1 mL</w:t>
            </w:r>
          </w:p>
        </w:tc>
      </w:tr>
      <w:tr w:rsidR="00D810A8" w:rsidRPr="00D810A8" w:rsidTr="00D810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10A8" w:rsidRPr="00D810A8" w:rsidRDefault="00D810A8" w:rsidP="00D810A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0A8">
              <w:rPr>
                <w:rStyle w:val="Strong"/>
                <w:rFonts w:ascii="Times New Roman" w:hAnsi="Times New Roman" w:cs="Times New Roman"/>
                <w:sz w:val="28"/>
                <w:szCs w:val="28"/>
              </w:rPr>
              <w:t>Freely soluble</w:t>
            </w:r>
          </w:p>
        </w:tc>
        <w:tc>
          <w:tcPr>
            <w:tcW w:w="0" w:type="auto"/>
            <w:vAlign w:val="center"/>
            <w:hideMark/>
          </w:tcPr>
          <w:p w:rsidR="00D810A8" w:rsidRPr="00D810A8" w:rsidRDefault="00D810A8" w:rsidP="00D810A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0A8">
              <w:rPr>
                <w:rFonts w:ascii="Times New Roman" w:hAnsi="Times New Roman" w:cs="Times New Roman"/>
                <w:sz w:val="28"/>
                <w:szCs w:val="28"/>
              </w:rPr>
              <w:t>1–10 mL</w:t>
            </w:r>
          </w:p>
        </w:tc>
      </w:tr>
      <w:tr w:rsidR="00D810A8" w:rsidRPr="00D810A8" w:rsidTr="00D810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10A8" w:rsidRPr="00D810A8" w:rsidRDefault="00D810A8" w:rsidP="00D810A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0A8">
              <w:rPr>
                <w:rStyle w:val="Strong"/>
                <w:rFonts w:ascii="Times New Roman" w:hAnsi="Times New Roman" w:cs="Times New Roman"/>
                <w:sz w:val="28"/>
                <w:szCs w:val="28"/>
              </w:rPr>
              <w:t>Soluble</w:t>
            </w:r>
          </w:p>
        </w:tc>
        <w:tc>
          <w:tcPr>
            <w:tcW w:w="0" w:type="auto"/>
            <w:vAlign w:val="center"/>
            <w:hideMark/>
          </w:tcPr>
          <w:p w:rsidR="00D810A8" w:rsidRPr="00D810A8" w:rsidRDefault="00D810A8" w:rsidP="00D810A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0A8">
              <w:rPr>
                <w:rFonts w:ascii="Times New Roman" w:hAnsi="Times New Roman" w:cs="Times New Roman"/>
                <w:sz w:val="28"/>
                <w:szCs w:val="28"/>
              </w:rPr>
              <w:t>10–30 mL</w:t>
            </w:r>
          </w:p>
        </w:tc>
      </w:tr>
      <w:tr w:rsidR="00D810A8" w:rsidRPr="00D810A8" w:rsidTr="00D810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10A8" w:rsidRPr="00D810A8" w:rsidRDefault="00D810A8" w:rsidP="00D810A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0A8">
              <w:rPr>
                <w:rStyle w:val="Strong"/>
                <w:rFonts w:ascii="Times New Roman" w:hAnsi="Times New Roman" w:cs="Times New Roman"/>
                <w:sz w:val="28"/>
                <w:szCs w:val="28"/>
              </w:rPr>
              <w:t>Sparingly soluble</w:t>
            </w:r>
          </w:p>
        </w:tc>
        <w:tc>
          <w:tcPr>
            <w:tcW w:w="0" w:type="auto"/>
            <w:vAlign w:val="center"/>
            <w:hideMark/>
          </w:tcPr>
          <w:p w:rsidR="00D810A8" w:rsidRPr="00D810A8" w:rsidRDefault="00D810A8" w:rsidP="00D810A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0A8">
              <w:rPr>
                <w:rFonts w:ascii="Times New Roman" w:hAnsi="Times New Roman" w:cs="Times New Roman"/>
                <w:sz w:val="28"/>
                <w:szCs w:val="28"/>
              </w:rPr>
              <w:t>30–100 mL</w:t>
            </w:r>
          </w:p>
        </w:tc>
      </w:tr>
      <w:tr w:rsidR="00D810A8" w:rsidRPr="00D810A8" w:rsidTr="00D810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10A8" w:rsidRPr="00D810A8" w:rsidRDefault="00D810A8" w:rsidP="00D810A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0A8">
              <w:rPr>
                <w:rStyle w:val="Strong"/>
                <w:rFonts w:ascii="Times New Roman" w:hAnsi="Times New Roman" w:cs="Times New Roman"/>
                <w:sz w:val="28"/>
                <w:szCs w:val="28"/>
              </w:rPr>
              <w:t>Slightly soluble</w:t>
            </w:r>
          </w:p>
        </w:tc>
        <w:tc>
          <w:tcPr>
            <w:tcW w:w="0" w:type="auto"/>
            <w:vAlign w:val="center"/>
            <w:hideMark/>
          </w:tcPr>
          <w:p w:rsidR="00D810A8" w:rsidRPr="00D810A8" w:rsidRDefault="00D810A8" w:rsidP="00D810A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0A8">
              <w:rPr>
                <w:rFonts w:ascii="Times New Roman" w:hAnsi="Times New Roman" w:cs="Times New Roman"/>
                <w:sz w:val="28"/>
                <w:szCs w:val="28"/>
              </w:rPr>
              <w:t>100–1000 mL</w:t>
            </w:r>
          </w:p>
        </w:tc>
      </w:tr>
      <w:tr w:rsidR="00D810A8" w:rsidRPr="00D810A8" w:rsidTr="00D810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10A8" w:rsidRPr="00D810A8" w:rsidRDefault="00D810A8" w:rsidP="00D810A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0A8">
              <w:rPr>
                <w:rStyle w:val="Strong"/>
                <w:rFonts w:ascii="Times New Roman" w:hAnsi="Times New Roman" w:cs="Times New Roman"/>
                <w:sz w:val="28"/>
                <w:szCs w:val="28"/>
              </w:rPr>
              <w:t>Very slightly soluble</w:t>
            </w:r>
          </w:p>
        </w:tc>
        <w:tc>
          <w:tcPr>
            <w:tcW w:w="0" w:type="auto"/>
            <w:vAlign w:val="center"/>
            <w:hideMark/>
          </w:tcPr>
          <w:p w:rsidR="00D810A8" w:rsidRPr="00D810A8" w:rsidRDefault="00D810A8" w:rsidP="00D810A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0A8">
              <w:rPr>
                <w:rFonts w:ascii="Times New Roman" w:hAnsi="Times New Roman" w:cs="Times New Roman"/>
                <w:sz w:val="28"/>
                <w:szCs w:val="28"/>
              </w:rPr>
              <w:t>1000–10,000 mL</w:t>
            </w:r>
          </w:p>
        </w:tc>
      </w:tr>
      <w:tr w:rsidR="00D810A8" w:rsidRPr="00D810A8" w:rsidTr="00D810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10A8" w:rsidRPr="00D810A8" w:rsidRDefault="00D810A8" w:rsidP="00D810A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0A8">
              <w:rPr>
                <w:rStyle w:val="Strong"/>
                <w:rFonts w:ascii="Times New Roman" w:hAnsi="Times New Roman" w:cs="Times New Roman"/>
                <w:sz w:val="28"/>
                <w:szCs w:val="28"/>
              </w:rPr>
              <w:t>Practically insoluble / Insoluble</w:t>
            </w:r>
          </w:p>
        </w:tc>
        <w:tc>
          <w:tcPr>
            <w:tcW w:w="0" w:type="auto"/>
            <w:vAlign w:val="center"/>
            <w:hideMark/>
          </w:tcPr>
          <w:p w:rsidR="00D810A8" w:rsidRPr="00D810A8" w:rsidRDefault="00D810A8" w:rsidP="00D810A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0A8">
              <w:rPr>
                <w:rFonts w:ascii="Times New Roman" w:hAnsi="Times New Roman" w:cs="Times New Roman"/>
                <w:sz w:val="28"/>
                <w:szCs w:val="28"/>
              </w:rPr>
              <w:t>More than 10,000 mL</w:t>
            </w:r>
          </w:p>
        </w:tc>
      </w:tr>
    </w:tbl>
    <w:p w:rsidR="00D810A8" w:rsidRPr="00D810A8" w:rsidRDefault="00D810A8" w:rsidP="00D810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0A8" w:rsidRPr="00D810A8" w:rsidRDefault="00D810A8" w:rsidP="00D810A8">
      <w:pPr>
        <w:pStyle w:val="Heading3"/>
        <w:spacing w:line="360" w:lineRule="auto"/>
        <w:jc w:val="both"/>
        <w:rPr>
          <w:sz w:val="28"/>
          <w:szCs w:val="28"/>
        </w:rPr>
      </w:pPr>
      <w:r w:rsidRPr="00D810A8">
        <w:rPr>
          <w:rStyle w:val="Strong"/>
          <w:b/>
          <w:bCs/>
          <w:sz w:val="28"/>
          <w:szCs w:val="28"/>
        </w:rPr>
        <w:t>2. Quantitative Solubility Expressions</w:t>
      </w:r>
    </w:p>
    <w:p w:rsidR="00D810A8" w:rsidRPr="00D810A8" w:rsidRDefault="00D810A8" w:rsidP="00D810A8">
      <w:pPr>
        <w:pStyle w:val="Heading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0A8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a) Percentage (% w/v, % w/w, % v/v)</w:t>
      </w:r>
    </w:p>
    <w:p w:rsidR="00D810A8" w:rsidRPr="00D810A8" w:rsidRDefault="00D810A8" w:rsidP="00D810A8">
      <w:pPr>
        <w:pStyle w:val="NormalWeb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D810A8">
        <w:rPr>
          <w:sz w:val="28"/>
          <w:szCs w:val="28"/>
        </w:rPr>
        <w:t>Indicates the amount of solute in 100 units of solution.</w:t>
      </w:r>
    </w:p>
    <w:p w:rsidR="00D810A8" w:rsidRPr="00D810A8" w:rsidRDefault="00D810A8" w:rsidP="00D810A8">
      <w:pPr>
        <w:pStyle w:val="NormalWeb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D810A8">
        <w:rPr>
          <w:sz w:val="28"/>
          <w:szCs w:val="28"/>
        </w:rPr>
        <w:t>Example: 5% w/v = 5 g of drug in 100 mL of solution</w:t>
      </w:r>
    </w:p>
    <w:p w:rsidR="00D810A8" w:rsidRPr="00D810A8" w:rsidRDefault="00D810A8" w:rsidP="00D810A8">
      <w:pPr>
        <w:pStyle w:val="Heading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0A8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b) Molarity (M)</w:t>
      </w:r>
    </w:p>
    <w:p w:rsidR="00D810A8" w:rsidRPr="00D810A8" w:rsidRDefault="00D810A8" w:rsidP="00D810A8">
      <w:pPr>
        <w:pStyle w:val="NormalWeb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D810A8">
        <w:rPr>
          <w:sz w:val="28"/>
          <w:szCs w:val="28"/>
        </w:rPr>
        <w:t>Number of moles of solute per liter of solution</w:t>
      </w:r>
      <w:r w:rsidRPr="00D810A8">
        <w:rPr>
          <w:sz w:val="28"/>
          <w:szCs w:val="28"/>
        </w:rPr>
        <w:br/>
      </w:r>
      <w:r w:rsidRPr="00D810A8">
        <w:rPr>
          <w:rStyle w:val="Strong"/>
          <w:sz w:val="28"/>
          <w:szCs w:val="28"/>
        </w:rPr>
        <w:t>M = moles of solute / liter of solution</w:t>
      </w:r>
    </w:p>
    <w:p w:rsidR="00D810A8" w:rsidRPr="00D810A8" w:rsidRDefault="00D810A8" w:rsidP="00D810A8">
      <w:pPr>
        <w:pStyle w:val="Heading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0A8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c) Molality (m)</w:t>
      </w:r>
    </w:p>
    <w:p w:rsidR="00D810A8" w:rsidRPr="00D810A8" w:rsidRDefault="00D810A8" w:rsidP="00D810A8">
      <w:pPr>
        <w:pStyle w:val="NormalWeb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D810A8">
        <w:rPr>
          <w:sz w:val="28"/>
          <w:szCs w:val="28"/>
        </w:rPr>
        <w:t>Moles of solute per kilogram of solvent</w:t>
      </w:r>
    </w:p>
    <w:p w:rsidR="00D810A8" w:rsidRPr="00D810A8" w:rsidRDefault="00D810A8" w:rsidP="00D810A8">
      <w:pPr>
        <w:pStyle w:val="Heading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0A8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d) Mole Fraction</w:t>
      </w:r>
    </w:p>
    <w:p w:rsidR="00D810A8" w:rsidRPr="00D810A8" w:rsidRDefault="00D810A8" w:rsidP="00D810A8">
      <w:pPr>
        <w:pStyle w:val="NormalWeb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D810A8">
        <w:rPr>
          <w:sz w:val="28"/>
          <w:szCs w:val="28"/>
        </w:rPr>
        <w:t>Ratio of moles of one component to total moles present</w:t>
      </w:r>
    </w:p>
    <w:p w:rsidR="00D810A8" w:rsidRPr="00D810A8" w:rsidRDefault="00D810A8" w:rsidP="00D810A8">
      <w:pPr>
        <w:pStyle w:val="Heading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0A8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e) Parts Per Million (ppm)</w:t>
      </w:r>
    </w:p>
    <w:p w:rsidR="00D810A8" w:rsidRPr="00D810A8" w:rsidRDefault="00D810A8" w:rsidP="00D810A8">
      <w:pPr>
        <w:pStyle w:val="NormalWeb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D810A8">
        <w:rPr>
          <w:sz w:val="28"/>
          <w:szCs w:val="28"/>
        </w:rPr>
        <w:t>Used for very low solubilities</w:t>
      </w:r>
    </w:p>
    <w:p w:rsidR="00D810A8" w:rsidRPr="00D810A8" w:rsidRDefault="00D810A8" w:rsidP="00D810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0A8" w:rsidRPr="00D810A8" w:rsidRDefault="00D810A8" w:rsidP="00D810A8">
      <w:pPr>
        <w:pStyle w:val="Heading3"/>
        <w:spacing w:line="360" w:lineRule="auto"/>
        <w:jc w:val="both"/>
        <w:rPr>
          <w:sz w:val="28"/>
          <w:szCs w:val="28"/>
        </w:rPr>
      </w:pPr>
      <w:r w:rsidRPr="00D810A8">
        <w:rPr>
          <w:rStyle w:val="Strong"/>
          <w:b/>
          <w:bCs/>
          <w:sz w:val="28"/>
          <w:szCs w:val="28"/>
        </w:rPr>
        <w:t>3. pH–Solubility Relationship</w:t>
      </w:r>
    </w:p>
    <w:p w:rsidR="00D810A8" w:rsidRPr="00D810A8" w:rsidRDefault="00D810A8" w:rsidP="00D810A8">
      <w:pPr>
        <w:pStyle w:val="NormalWeb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D810A8">
        <w:rPr>
          <w:sz w:val="28"/>
          <w:szCs w:val="28"/>
        </w:rPr>
        <w:t xml:space="preserve">For </w:t>
      </w:r>
      <w:r w:rsidRPr="00D810A8">
        <w:rPr>
          <w:rStyle w:val="Strong"/>
          <w:sz w:val="28"/>
          <w:szCs w:val="28"/>
        </w:rPr>
        <w:t>weak acids</w:t>
      </w:r>
      <w:r w:rsidRPr="00D810A8">
        <w:rPr>
          <w:sz w:val="28"/>
          <w:szCs w:val="28"/>
        </w:rPr>
        <w:t xml:space="preserve">: solubility increases at </w:t>
      </w:r>
      <w:r w:rsidRPr="00D810A8">
        <w:rPr>
          <w:rStyle w:val="Strong"/>
          <w:sz w:val="28"/>
          <w:szCs w:val="28"/>
        </w:rPr>
        <w:t>high pH</w:t>
      </w:r>
    </w:p>
    <w:p w:rsidR="00D810A8" w:rsidRPr="00D810A8" w:rsidRDefault="00D810A8" w:rsidP="00D810A8">
      <w:pPr>
        <w:pStyle w:val="NormalWeb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D810A8">
        <w:rPr>
          <w:sz w:val="28"/>
          <w:szCs w:val="28"/>
        </w:rPr>
        <w:t xml:space="preserve">For </w:t>
      </w:r>
      <w:r w:rsidRPr="00D810A8">
        <w:rPr>
          <w:rStyle w:val="Strong"/>
          <w:sz w:val="28"/>
          <w:szCs w:val="28"/>
        </w:rPr>
        <w:t>weak bases</w:t>
      </w:r>
      <w:r w:rsidRPr="00D810A8">
        <w:rPr>
          <w:sz w:val="28"/>
          <w:szCs w:val="28"/>
        </w:rPr>
        <w:t xml:space="preserve">: solubility increases at </w:t>
      </w:r>
      <w:r w:rsidRPr="00D810A8">
        <w:rPr>
          <w:rStyle w:val="Strong"/>
          <w:sz w:val="28"/>
          <w:szCs w:val="28"/>
        </w:rPr>
        <w:t>low pH</w:t>
      </w:r>
    </w:p>
    <w:p w:rsidR="00D810A8" w:rsidRPr="00D810A8" w:rsidRDefault="00D810A8" w:rsidP="00D810A8">
      <w:pPr>
        <w:pStyle w:val="NormalWeb"/>
        <w:spacing w:line="360" w:lineRule="auto"/>
        <w:jc w:val="both"/>
        <w:rPr>
          <w:sz w:val="28"/>
          <w:szCs w:val="28"/>
        </w:rPr>
      </w:pPr>
      <w:r w:rsidRPr="00D810A8">
        <w:rPr>
          <w:sz w:val="28"/>
          <w:szCs w:val="28"/>
        </w:rPr>
        <w:t xml:space="preserve">This is explained by the </w:t>
      </w:r>
      <w:r w:rsidRPr="00D810A8">
        <w:rPr>
          <w:rStyle w:val="Strong"/>
          <w:sz w:val="28"/>
          <w:szCs w:val="28"/>
        </w:rPr>
        <w:t>Henderson–Hasselbalch equation</w:t>
      </w:r>
      <w:r w:rsidRPr="00D810A8">
        <w:rPr>
          <w:sz w:val="28"/>
          <w:szCs w:val="28"/>
        </w:rPr>
        <w:t xml:space="preserve"> used to predict ionization and solubility changes.</w:t>
      </w:r>
    </w:p>
    <w:p w:rsidR="00D810A8" w:rsidRPr="00D810A8" w:rsidRDefault="00D810A8" w:rsidP="00D810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0A8" w:rsidRPr="00D810A8" w:rsidRDefault="00D810A8" w:rsidP="00D810A8">
      <w:pPr>
        <w:pStyle w:val="Heading3"/>
        <w:spacing w:line="360" w:lineRule="auto"/>
        <w:jc w:val="both"/>
        <w:rPr>
          <w:sz w:val="28"/>
          <w:szCs w:val="28"/>
        </w:rPr>
      </w:pPr>
      <w:r w:rsidRPr="00D810A8">
        <w:rPr>
          <w:rStyle w:val="Strong"/>
          <w:b/>
          <w:bCs/>
          <w:sz w:val="28"/>
          <w:szCs w:val="28"/>
        </w:rPr>
        <w:t>4. Factors Affecting Drug Solubility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6"/>
        <w:gridCol w:w="4633"/>
      </w:tblGrid>
      <w:tr w:rsidR="00D810A8" w:rsidRPr="00D810A8" w:rsidTr="00D810A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810A8" w:rsidRPr="00D810A8" w:rsidRDefault="00D810A8" w:rsidP="00D810A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10A8">
              <w:rPr>
                <w:rStyle w:val="Strong"/>
                <w:rFonts w:ascii="Times New Roman" w:hAnsi="Times New Roman" w:cs="Times New Roman"/>
                <w:sz w:val="28"/>
                <w:szCs w:val="28"/>
              </w:rPr>
              <w:t>Factor</w:t>
            </w:r>
          </w:p>
        </w:tc>
        <w:tc>
          <w:tcPr>
            <w:tcW w:w="0" w:type="auto"/>
            <w:vAlign w:val="center"/>
            <w:hideMark/>
          </w:tcPr>
          <w:p w:rsidR="00D810A8" w:rsidRPr="00D810A8" w:rsidRDefault="00D810A8" w:rsidP="00D810A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10A8">
              <w:rPr>
                <w:rStyle w:val="Strong"/>
                <w:rFonts w:ascii="Times New Roman" w:hAnsi="Times New Roman" w:cs="Times New Roman"/>
                <w:sz w:val="28"/>
                <w:szCs w:val="28"/>
              </w:rPr>
              <w:t>Effect</w:t>
            </w:r>
          </w:p>
        </w:tc>
      </w:tr>
      <w:tr w:rsidR="00D810A8" w:rsidRPr="00D810A8" w:rsidTr="00D810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10A8" w:rsidRPr="00D810A8" w:rsidRDefault="00D810A8" w:rsidP="00D810A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0A8">
              <w:rPr>
                <w:rFonts w:ascii="Times New Roman" w:hAnsi="Times New Roman" w:cs="Times New Roman"/>
                <w:sz w:val="28"/>
                <w:szCs w:val="28"/>
              </w:rPr>
              <w:t>Nature of solute &amp; solvent</w:t>
            </w:r>
          </w:p>
        </w:tc>
        <w:tc>
          <w:tcPr>
            <w:tcW w:w="0" w:type="auto"/>
            <w:vAlign w:val="center"/>
            <w:hideMark/>
          </w:tcPr>
          <w:p w:rsidR="00D810A8" w:rsidRPr="00D810A8" w:rsidRDefault="00D810A8" w:rsidP="00D810A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0A8">
              <w:rPr>
                <w:rFonts w:ascii="Times New Roman" w:hAnsi="Times New Roman" w:cs="Times New Roman"/>
                <w:sz w:val="28"/>
                <w:szCs w:val="28"/>
              </w:rPr>
              <w:t>Like dissolves like (polarity)</w:t>
            </w:r>
          </w:p>
        </w:tc>
      </w:tr>
      <w:tr w:rsidR="00D810A8" w:rsidRPr="00D810A8" w:rsidTr="00D810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10A8" w:rsidRPr="00D810A8" w:rsidRDefault="00D810A8" w:rsidP="00D810A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0A8">
              <w:rPr>
                <w:rFonts w:ascii="Times New Roman" w:hAnsi="Times New Roman" w:cs="Times New Roman"/>
                <w:sz w:val="28"/>
                <w:szCs w:val="28"/>
              </w:rPr>
              <w:t>Temperature</w:t>
            </w:r>
          </w:p>
        </w:tc>
        <w:tc>
          <w:tcPr>
            <w:tcW w:w="0" w:type="auto"/>
            <w:vAlign w:val="center"/>
            <w:hideMark/>
          </w:tcPr>
          <w:p w:rsidR="00D810A8" w:rsidRPr="00D810A8" w:rsidRDefault="00D810A8" w:rsidP="00D810A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0A8">
              <w:rPr>
                <w:rFonts w:ascii="Times New Roman" w:hAnsi="Times New Roman" w:cs="Times New Roman"/>
                <w:sz w:val="28"/>
                <w:szCs w:val="28"/>
              </w:rPr>
              <w:t>↑ temperature → ↑ solubility for solids</w:t>
            </w:r>
          </w:p>
        </w:tc>
      </w:tr>
      <w:tr w:rsidR="00D810A8" w:rsidRPr="00D810A8" w:rsidTr="00D810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10A8" w:rsidRPr="00D810A8" w:rsidRDefault="00D810A8" w:rsidP="00D810A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0A8">
              <w:rPr>
                <w:rFonts w:ascii="Times New Roman" w:hAnsi="Times New Roman" w:cs="Times New Roman"/>
                <w:sz w:val="28"/>
                <w:szCs w:val="28"/>
              </w:rPr>
              <w:t>Particle size</w:t>
            </w:r>
          </w:p>
        </w:tc>
        <w:tc>
          <w:tcPr>
            <w:tcW w:w="0" w:type="auto"/>
            <w:vAlign w:val="center"/>
            <w:hideMark/>
          </w:tcPr>
          <w:p w:rsidR="00D810A8" w:rsidRPr="00D810A8" w:rsidRDefault="00D810A8" w:rsidP="00D810A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0A8">
              <w:rPr>
                <w:rFonts w:ascii="Times New Roman" w:hAnsi="Times New Roman" w:cs="Times New Roman"/>
                <w:sz w:val="28"/>
                <w:szCs w:val="28"/>
              </w:rPr>
              <w:t>Smaller particles dissolve faster</w:t>
            </w:r>
          </w:p>
        </w:tc>
      </w:tr>
      <w:tr w:rsidR="00D810A8" w:rsidRPr="00D810A8" w:rsidTr="00D810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10A8" w:rsidRPr="00D810A8" w:rsidRDefault="00D810A8" w:rsidP="00D810A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0A8">
              <w:rPr>
                <w:rFonts w:ascii="Times New Roman" w:hAnsi="Times New Roman" w:cs="Times New Roman"/>
                <w:sz w:val="28"/>
                <w:szCs w:val="28"/>
              </w:rPr>
              <w:t>pH</w:t>
            </w:r>
          </w:p>
        </w:tc>
        <w:tc>
          <w:tcPr>
            <w:tcW w:w="0" w:type="auto"/>
            <w:vAlign w:val="center"/>
            <w:hideMark/>
          </w:tcPr>
          <w:p w:rsidR="00D810A8" w:rsidRPr="00D810A8" w:rsidRDefault="00D810A8" w:rsidP="00D810A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0A8">
              <w:rPr>
                <w:rFonts w:ascii="Times New Roman" w:hAnsi="Times New Roman" w:cs="Times New Roman"/>
                <w:sz w:val="28"/>
                <w:szCs w:val="28"/>
              </w:rPr>
              <w:t>Influences ionization and solubility</w:t>
            </w:r>
          </w:p>
        </w:tc>
      </w:tr>
      <w:tr w:rsidR="00D810A8" w:rsidRPr="00D810A8" w:rsidTr="00D810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10A8" w:rsidRPr="00D810A8" w:rsidRDefault="00D810A8" w:rsidP="00D810A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0A8">
              <w:rPr>
                <w:rFonts w:ascii="Times New Roman" w:hAnsi="Times New Roman" w:cs="Times New Roman"/>
                <w:sz w:val="28"/>
                <w:szCs w:val="28"/>
              </w:rPr>
              <w:t>Presence of surfactants</w:t>
            </w:r>
          </w:p>
        </w:tc>
        <w:tc>
          <w:tcPr>
            <w:tcW w:w="0" w:type="auto"/>
            <w:vAlign w:val="center"/>
            <w:hideMark/>
          </w:tcPr>
          <w:p w:rsidR="00D810A8" w:rsidRPr="00D810A8" w:rsidRDefault="00D810A8" w:rsidP="00D810A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0A8">
              <w:rPr>
                <w:rFonts w:ascii="Times New Roman" w:hAnsi="Times New Roman" w:cs="Times New Roman"/>
                <w:sz w:val="28"/>
                <w:szCs w:val="28"/>
              </w:rPr>
              <w:t>Increase solubility via micelle formation</w:t>
            </w:r>
          </w:p>
        </w:tc>
      </w:tr>
      <w:tr w:rsidR="00D810A8" w:rsidRPr="00D810A8" w:rsidTr="00D810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10A8" w:rsidRPr="00D810A8" w:rsidRDefault="00D810A8" w:rsidP="00D810A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0A8">
              <w:rPr>
                <w:rFonts w:ascii="Times New Roman" w:hAnsi="Times New Roman" w:cs="Times New Roman"/>
                <w:sz w:val="28"/>
                <w:szCs w:val="28"/>
              </w:rPr>
              <w:t>Co-solvents</w:t>
            </w:r>
          </w:p>
        </w:tc>
        <w:tc>
          <w:tcPr>
            <w:tcW w:w="0" w:type="auto"/>
            <w:vAlign w:val="center"/>
            <w:hideMark/>
          </w:tcPr>
          <w:p w:rsidR="00D810A8" w:rsidRPr="00D810A8" w:rsidRDefault="00D810A8" w:rsidP="00D810A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0A8">
              <w:rPr>
                <w:rFonts w:ascii="Times New Roman" w:hAnsi="Times New Roman" w:cs="Times New Roman"/>
                <w:sz w:val="28"/>
                <w:szCs w:val="28"/>
              </w:rPr>
              <w:t>Improve solubility of hydrophobic drugs</w:t>
            </w:r>
          </w:p>
        </w:tc>
      </w:tr>
    </w:tbl>
    <w:p w:rsidR="00D810A8" w:rsidRPr="00D810A8" w:rsidRDefault="00D810A8" w:rsidP="00D810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0A8" w:rsidRPr="00D810A8" w:rsidRDefault="00D810A8" w:rsidP="00D810A8">
      <w:pPr>
        <w:pStyle w:val="Heading3"/>
        <w:spacing w:line="360" w:lineRule="auto"/>
        <w:jc w:val="both"/>
        <w:rPr>
          <w:sz w:val="28"/>
          <w:szCs w:val="28"/>
        </w:rPr>
      </w:pPr>
      <w:r w:rsidRPr="00D810A8">
        <w:rPr>
          <w:rStyle w:val="Strong"/>
          <w:b/>
          <w:bCs/>
          <w:sz w:val="28"/>
          <w:szCs w:val="28"/>
        </w:rPr>
        <w:t>Importance of Solubility in Pharmacy</w:t>
      </w:r>
    </w:p>
    <w:p w:rsidR="00D810A8" w:rsidRPr="00D810A8" w:rsidRDefault="00D810A8" w:rsidP="00D810A8">
      <w:pPr>
        <w:pStyle w:val="NormalWeb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D810A8">
        <w:rPr>
          <w:sz w:val="28"/>
          <w:szCs w:val="28"/>
        </w:rPr>
        <w:t xml:space="preserve">Determines </w:t>
      </w:r>
      <w:r w:rsidRPr="00D810A8">
        <w:rPr>
          <w:rStyle w:val="Strong"/>
          <w:sz w:val="28"/>
          <w:szCs w:val="28"/>
        </w:rPr>
        <w:t>drug absorption and bioavailability</w:t>
      </w:r>
    </w:p>
    <w:p w:rsidR="00D810A8" w:rsidRPr="00D810A8" w:rsidRDefault="00D810A8" w:rsidP="00D810A8">
      <w:pPr>
        <w:pStyle w:val="NormalWeb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D810A8">
        <w:rPr>
          <w:sz w:val="28"/>
          <w:szCs w:val="28"/>
        </w:rPr>
        <w:t xml:space="preserve">Influences </w:t>
      </w:r>
      <w:r w:rsidRPr="00D810A8">
        <w:rPr>
          <w:rStyle w:val="Strong"/>
          <w:sz w:val="28"/>
          <w:szCs w:val="28"/>
        </w:rPr>
        <w:t>formulation type</w:t>
      </w:r>
      <w:r w:rsidRPr="00D810A8">
        <w:rPr>
          <w:sz w:val="28"/>
          <w:szCs w:val="28"/>
        </w:rPr>
        <w:t xml:space="preserve"> (tablet, solution, suspension)</w:t>
      </w:r>
    </w:p>
    <w:p w:rsidR="00D810A8" w:rsidRPr="00D810A8" w:rsidRDefault="00D810A8" w:rsidP="00D810A8">
      <w:pPr>
        <w:pStyle w:val="NormalWeb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D810A8">
        <w:rPr>
          <w:sz w:val="28"/>
          <w:szCs w:val="28"/>
        </w:rPr>
        <w:t xml:space="preserve">Affects </w:t>
      </w:r>
      <w:r w:rsidRPr="00D810A8">
        <w:rPr>
          <w:rStyle w:val="Strong"/>
          <w:sz w:val="28"/>
          <w:szCs w:val="28"/>
        </w:rPr>
        <w:t>route of administration</w:t>
      </w:r>
    </w:p>
    <w:p w:rsidR="00D810A8" w:rsidRPr="00D810A8" w:rsidRDefault="00D810A8" w:rsidP="00D810A8">
      <w:pPr>
        <w:pStyle w:val="NormalWeb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D810A8">
        <w:rPr>
          <w:sz w:val="28"/>
          <w:szCs w:val="28"/>
        </w:rPr>
        <w:t xml:space="preserve">Helps in </w:t>
      </w:r>
      <w:r w:rsidRPr="00D810A8">
        <w:rPr>
          <w:rStyle w:val="Strong"/>
          <w:sz w:val="28"/>
          <w:szCs w:val="28"/>
        </w:rPr>
        <w:t>drug solubilisation techniques</w:t>
      </w:r>
      <w:r w:rsidRPr="00D810A8">
        <w:rPr>
          <w:sz w:val="28"/>
          <w:szCs w:val="28"/>
        </w:rPr>
        <w:t xml:space="preserve"> such as salt formation, pH adjustment, use of surfactants, and complexation</w:t>
      </w:r>
    </w:p>
    <w:p w:rsidR="00D810A8" w:rsidRPr="00D810A8" w:rsidRDefault="00D810A8" w:rsidP="00D810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0A8" w:rsidRPr="00D810A8" w:rsidRDefault="00D810A8" w:rsidP="00D810A8">
      <w:pPr>
        <w:pStyle w:val="Heading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0A8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Conclusion</w:t>
      </w:r>
    </w:p>
    <w:p w:rsidR="00D810A8" w:rsidRPr="00D810A8" w:rsidRDefault="00D810A8" w:rsidP="00D810A8">
      <w:pPr>
        <w:pStyle w:val="NormalWeb"/>
        <w:spacing w:line="360" w:lineRule="auto"/>
        <w:jc w:val="both"/>
        <w:rPr>
          <w:sz w:val="28"/>
          <w:szCs w:val="28"/>
        </w:rPr>
      </w:pPr>
      <w:r w:rsidRPr="00D810A8">
        <w:rPr>
          <w:sz w:val="28"/>
          <w:szCs w:val="28"/>
        </w:rPr>
        <w:t>Solubility expressions provide essential information about how much drug can be dissolved in a solvent, which is crucial for designing stable, effective, and bioavailable pharmaceutical formulations. Understanding solubility classifications and quantitative measures helps pharmacists select suitable strategies to enhance drug solubility and optimize therapeutic outcomes.</w:t>
      </w:r>
    </w:p>
    <w:p w:rsidR="00B06C2F" w:rsidRDefault="00B06C2F" w:rsidP="00B06C2F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DB570F" w:rsidRPr="00D43D7E" w:rsidRDefault="00DB570F" w:rsidP="00D43D7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B570F" w:rsidRPr="00D43D7E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AF5" w:rsidRDefault="00D85AF5" w:rsidP="00DB570F">
      <w:pPr>
        <w:spacing w:after="0" w:line="240" w:lineRule="auto"/>
      </w:pPr>
      <w:r>
        <w:separator/>
      </w:r>
    </w:p>
  </w:endnote>
  <w:endnote w:type="continuationSeparator" w:id="0">
    <w:p w:rsidR="00D85AF5" w:rsidRDefault="00D85AF5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SEMESTER(2025-2026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AF5" w:rsidRDefault="00D85AF5" w:rsidP="00DB570F">
      <w:pPr>
        <w:spacing w:after="0" w:line="240" w:lineRule="auto"/>
      </w:pPr>
      <w:r>
        <w:separator/>
      </w:r>
    </w:p>
  </w:footnote>
  <w:footnote w:type="continuationSeparator" w:id="0">
    <w:p w:rsidR="00D85AF5" w:rsidRDefault="00D85AF5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D85AF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D810A8">
          <w:rPr>
            <w:noProof/>
          </w:rPr>
          <w:t>1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D85AF5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D85AF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9B3330"/>
    <w:multiLevelType w:val="multilevel"/>
    <w:tmpl w:val="0726B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237690"/>
    <w:multiLevelType w:val="multilevel"/>
    <w:tmpl w:val="89D09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A024FA"/>
    <w:multiLevelType w:val="multilevel"/>
    <w:tmpl w:val="8F90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9863FA"/>
    <w:multiLevelType w:val="multilevel"/>
    <w:tmpl w:val="4F783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C57255"/>
    <w:multiLevelType w:val="multilevel"/>
    <w:tmpl w:val="FA342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284F2E"/>
    <w:multiLevelType w:val="multilevel"/>
    <w:tmpl w:val="B81C9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090E95"/>
    <w:multiLevelType w:val="multilevel"/>
    <w:tmpl w:val="4B36C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0"/>
  </w:num>
  <w:num w:numId="5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0"/>
  </w:num>
  <w:num w:numId="9">
    <w:abstractNumId w:val="5"/>
  </w:num>
  <w:num w:numId="10">
    <w:abstractNumId w:val="6"/>
  </w:num>
  <w:num w:numId="11">
    <w:abstractNumId w:val="10"/>
  </w:num>
  <w:num w:numId="12">
    <w:abstractNumId w:val="7"/>
  </w:num>
  <w:num w:numId="13">
    <w:abstractNumId w:val="2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113017"/>
    <w:rsid w:val="00242B5E"/>
    <w:rsid w:val="002C0628"/>
    <w:rsid w:val="00377796"/>
    <w:rsid w:val="004406AC"/>
    <w:rsid w:val="00491A34"/>
    <w:rsid w:val="004C37A3"/>
    <w:rsid w:val="0050689C"/>
    <w:rsid w:val="00517FE9"/>
    <w:rsid w:val="00541D2F"/>
    <w:rsid w:val="00657CCB"/>
    <w:rsid w:val="007300CE"/>
    <w:rsid w:val="00751766"/>
    <w:rsid w:val="00767F40"/>
    <w:rsid w:val="008D61C5"/>
    <w:rsid w:val="008F2DB3"/>
    <w:rsid w:val="009517CE"/>
    <w:rsid w:val="00997E8F"/>
    <w:rsid w:val="009A76D7"/>
    <w:rsid w:val="009C02E7"/>
    <w:rsid w:val="009E68EC"/>
    <w:rsid w:val="00A22D24"/>
    <w:rsid w:val="00A37C51"/>
    <w:rsid w:val="00A8407A"/>
    <w:rsid w:val="00AF052D"/>
    <w:rsid w:val="00B06C2F"/>
    <w:rsid w:val="00B9514D"/>
    <w:rsid w:val="00BA3D19"/>
    <w:rsid w:val="00BC37A9"/>
    <w:rsid w:val="00C30118"/>
    <w:rsid w:val="00C603C6"/>
    <w:rsid w:val="00C77CD8"/>
    <w:rsid w:val="00D43D7E"/>
    <w:rsid w:val="00D810A8"/>
    <w:rsid w:val="00D85AF5"/>
    <w:rsid w:val="00D95CB3"/>
    <w:rsid w:val="00DA1A81"/>
    <w:rsid w:val="00DB570F"/>
    <w:rsid w:val="00E2197E"/>
    <w:rsid w:val="00E8546D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10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10A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10A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10A8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6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6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6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2025-11-28T05:12:00Z</dcterms:created>
  <dcterms:modified xsi:type="dcterms:W3CDTF">2025-11-28T05:12:00Z</dcterms:modified>
</cp:coreProperties>
</file>