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2DB9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05EC1C7B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7136F8A6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153309B4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69BC1671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2FB51B4C" w14:textId="3AE82241" w:rsidR="00AD2FD6" w:rsidRPr="00AD2FD6" w:rsidRDefault="00AD2FD6" w:rsidP="00AD2FD6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44"/>
          <w:szCs w:val="44"/>
        </w:rPr>
      </w:pPr>
      <w:r w:rsidRPr="00AD2FD6">
        <w:rPr>
          <w:b/>
          <w:bCs/>
          <w:i/>
          <w:iCs/>
          <w:color w:val="000000"/>
          <w:sz w:val="44"/>
          <w:szCs w:val="44"/>
        </w:rPr>
        <w:t>CITRIC ACID CYCLE</w:t>
      </w:r>
    </w:p>
    <w:p w14:paraId="59D977EF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16C63B24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5FF9A9F2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0E360875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74613B94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5DC16583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08F119FD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2B7FF249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3108BC3C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66163C5A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34489BA5" w14:textId="77777777" w:rsidR="00AD2FD6" w:rsidRPr="003C22DF" w:rsidRDefault="00AD2FD6" w:rsidP="003C22DF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32"/>
          <w:szCs w:val="32"/>
        </w:rPr>
      </w:pPr>
    </w:p>
    <w:p w14:paraId="59615553" w14:textId="01B3DF20" w:rsidR="00AD2FD6" w:rsidRPr="003C22DF" w:rsidRDefault="00AD2FD6" w:rsidP="003C22DF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32"/>
          <w:szCs w:val="32"/>
        </w:rPr>
      </w:pPr>
      <w:r w:rsidRPr="003C22DF">
        <w:rPr>
          <w:b/>
          <w:bCs/>
          <w:i/>
          <w:iCs/>
          <w:color w:val="000000"/>
          <w:sz w:val="32"/>
          <w:szCs w:val="32"/>
        </w:rPr>
        <w:t>PREPARED BY:</w:t>
      </w:r>
    </w:p>
    <w:p w14:paraId="0BBB75C7" w14:textId="7FDB1892" w:rsidR="00AD2FD6" w:rsidRPr="003C22DF" w:rsidRDefault="00AD2FD6" w:rsidP="003C22DF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28"/>
          <w:szCs w:val="28"/>
        </w:rPr>
      </w:pPr>
      <w:r w:rsidRPr="003C22DF">
        <w:rPr>
          <w:b/>
          <w:bCs/>
          <w:i/>
          <w:iCs/>
          <w:color w:val="000000"/>
          <w:sz w:val="28"/>
          <w:szCs w:val="28"/>
        </w:rPr>
        <w:t>T.</w:t>
      </w:r>
      <w:r w:rsidR="003C22DF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3C22DF">
        <w:rPr>
          <w:b/>
          <w:bCs/>
          <w:i/>
          <w:iCs/>
          <w:color w:val="000000"/>
          <w:sz w:val="28"/>
          <w:szCs w:val="28"/>
        </w:rPr>
        <w:t>PRIYANKA</w:t>
      </w:r>
    </w:p>
    <w:p w14:paraId="4E85F008" w14:textId="541262B4" w:rsidR="00AD2FD6" w:rsidRPr="003C22DF" w:rsidRDefault="00AD2FD6" w:rsidP="003C22DF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28"/>
          <w:szCs w:val="28"/>
        </w:rPr>
      </w:pPr>
      <w:r w:rsidRPr="003C22DF">
        <w:rPr>
          <w:b/>
          <w:bCs/>
          <w:i/>
          <w:iCs/>
          <w:color w:val="000000"/>
          <w:sz w:val="28"/>
          <w:szCs w:val="28"/>
        </w:rPr>
        <w:t>Assistant Professor</w:t>
      </w:r>
    </w:p>
    <w:p w14:paraId="13E7AAC6" w14:textId="4C61B41E" w:rsidR="00AD2FD6" w:rsidRPr="003C22DF" w:rsidRDefault="00AD2FD6" w:rsidP="003C22DF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28"/>
          <w:szCs w:val="28"/>
        </w:rPr>
      </w:pPr>
      <w:r w:rsidRPr="003C22DF">
        <w:rPr>
          <w:b/>
          <w:bCs/>
          <w:i/>
          <w:iCs/>
          <w:color w:val="000000"/>
          <w:sz w:val="28"/>
          <w:szCs w:val="28"/>
        </w:rPr>
        <w:t xml:space="preserve">Department Of </w:t>
      </w:r>
      <w:r w:rsidR="003C22DF" w:rsidRPr="003C22DF">
        <w:rPr>
          <w:b/>
          <w:bCs/>
          <w:i/>
          <w:iCs/>
          <w:color w:val="000000"/>
          <w:sz w:val="28"/>
          <w:szCs w:val="28"/>
        </w:rPr>
        <w:t xml:space="preserve">Pharmaceutical </w:t>
      </w:r>
      <w:r w:rsidRPr="003C22DF">
        <w:rPr>
          <w:b/>
          <w:bCs/>
          <w:i/>
          <w:iCs/>
          <w:color w:val="000000"/>
          <w:sz w:val="28"/>
          <w:szCs w:val="28"/>
        </w:rPr>
        <w:t>Analysis</w:t>
      </w:r>
    </w:p>
    <w:p w14:paraId="69431A4A" w14:textId="50D7BF84" w:rsidR="003C22DF" w:rsidRPr="003C22DF" w:rsidRDefault="003C22DF" w:rsidP="003C22DF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28"/>
          <w:szCs w:val="28"/>
        </w:rPr>
      </w:pPr>
      <w:r w:rsidRPr="003C22DF">
        <w:rPr>
          <w:b/>
          <w:bCs/>
          <w:i/>
          <w:iCs/>
          <w:color w:val="000000"/>
          <w:sz w:val="28"/>
          <w:szCs w:val="28"/>
        </w:rPr>
        <w:t>Raghu College Of Pharmacy</w:t>
      </w:r>
    </w:p>
    <w:p w14:paraId="0CE19E14" w14:textId="77777777" w:rsidR="00AD2FD6" w:rsidRP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28"/>
          <w:szCs w:val="28"/>
        </w:rPr>
      </w:pPr>
    </w:p>
    <w:p w14:paraId="358F08B4" w14:textId="77777777" w:rsidR="00AD2FD6" w:rsidRDefault="00AD2FD6" w:rsidP="001F56FF">
      <w:pPr>
        <w:spacing w:after="200" w:line="276" w:lineRule="auto"/>
        <w:rPr>
          <w:b/>
          <w:bCs/>
          <w:color w:val="000000"/>
          <w:sz w:val="32"/>
          <w:szCs w:val="32"/>
        </w:rPr>
      </w:pPr>
    </w:p>
    <w:p w14:paraId="7D3D58D2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5C2DB874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59DB7F4C" w14:textId="77777777" w:rsidR="00AD2FD6" w:rsidRDefault="00AD2FD6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</w:p>
    <w:p w14:paraId="7A1CEA15" w14:textId="6EB19FF6" w:rsidR="001669E7" w:rsidRPr="001669E7" w:rsidRDefault="001669E7" w:rsidP="001669E7">
      <w:pPr>
        <w:spacing w:after="200" w:line="276" w:lineRule="auto"/>
        <w:ind w:left="720"/>
        <w:rPr>
          <w:b/>
          <w:bCs/>
          <w:color w:val="000000"/>
          <w:sz w:val="32"/>
          <w:szCs w:val="32"/>
        </w:rPr>
      </w:pPr>
      <w:r w:rsidRPr="001669E7">
        <w:rPr>
          <w:b/>
          <w:bCs/>
          <w:color w:val="000000"/>
          <w:sz w:val="32"/>
          <w:szCs w:val="32"/>
        </w:rPr>
        <w:t>CITRIC ACID CYCLE</w:t>
      </w:r>
      <w:r>
        <w:rPr>
          <w:b/>
          <w:bCs/>
          <w:color w:val="000000"/>
          <w:sz w:val="32"/>
          <w:szCs w:val="32"/>
        </w:rPr>
        <w:t>:</w:t>
      </w:r>
    </w:p>
    <w:p w14:paraId="424D0F1B" w14:textId="77777777" w:rsidR="001669E7" w:rsidRPr="00EE494B" w:rsidRDefault="001669E7" w:rsidP="001669E7">
      <w:pPr>
        <w:numPr>
          <w:ilvl w:val="0"/>
          <w:numId w:val="1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The citric acid cycle (Krebs cycle or tricarboxylic acid-TCA cycle) is the most important metabolic pathway for the energy</w:t>
      </w:r>
      <w:r w:rsidRPr="00EE494B">
        <w:rPr>
          <w:bCs/>
          <w:color w:val="000000"/>
        </w:rPr>
        <w:br/>
        <w:t>supply to the body. About 65-70% of the ATP is</w:t>
      </w:r>
      <w:r w:rsidRPr="00EE494B">
        <w:rPr>
          <w:bCs/>
          <w:color w:val="000000"/>
        </w:rPr>
        <w:br/>
        <w:t xml:space="preserve">synthesized in Krebs cycle. </w:t>
      </w:r>
    </w:p>
    <w:p w14:paraId="214952CE" w14:textId="77777777" w:rsidR="001669E7" w:rsidRPr="00EE494B" w:rsidRDefault="001669E7" w:rsidP="001669E7">
      <w:pPr>
        <w:numPr>
          <w:ilvl w:val="0"/>
          <w:numId w:val="1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Citric acid cycle essentially involves the oxidation of acetyl CoA to CO</w:t>
      </w:r>
      <w:r w:rsidRPr="00EE494B">
        <w:rPr>
          <w:bCs/>
          <w:color w:val="000000"/>
          <w:vertAlign w:val="subscript"/>
        </w:rPr>
        <w:t>2</w:t>
      </w:r>
      <w:r w:rsidRPr="00EE494B">
        <w:rPr>
          <w:bCs/>
          <w:color w:val="000000"/>
        </w:rPr>
        <w:t xml:space="preserve"> and H</w:t>
      </w:r>
      <w:r w:rsidRPr="00EE494B">
        <w:rPr>
          <w:bCs/>
          <w:color w:val="000000"/>
          <w:vertAlign w:val="subscript"/>
        </w:rPr>
        <w:t>2</w:t>
      </w:r>
      <w:r w:rsidRPr="00EE494B">
        <w:rPr>
          <w:bCs/>
          <w:color w:val="000000"/>
        </w:rPr>
        <w:t xml:space="preserve">O. This cycle utilizes about two thirds of total oxygen consumed by the body. </w:t>
      </w:r>
    </w:p>
    <w:p w14:paraId="14FA7411" w14:textId="77777777" w:rsidR="001669E7" w:rsidRPr="00EE494B" w:rsidRDefault="001669E7" w:rsidP="001669E7">
      <w:pPr>
        <w:numPr>
          <w:ilvl w:val="0"/>
          <w:numId w:val="1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The name TCA cycle is used, since, at the outset of the cycle, tricarboxylic acids (citrate, cis-aconitate and iso-citrate) </w:t>
      </w:r>
      <w:proofErr w:type="spellStart"/>
      <w:r w:rsidRPr="00EE494B">
        <w:rPr>
          <w:bCs/>
          <w:color w:val="000000"/>
        </w:rPr>
        <w:t>partcipate</w:t>
      </w:r>
      <w:proofErr w:type="spellEnd"/>
      <w:r w:rsidRPr="00EE494B">
        <w:rPr>
          <w:bCs/>
          <w:color w:val="000000"/>
        </w:rPr>
        <w:t xml:space="preserve">. </w:t>
      </w:r>
    </w:p>
    <w:p w14:paraId="674371BC" w14:textId="77777777" w:rsidR="001669E7" w:rsidRPr="00EE494B" w:rsidRDefault="001669E7" w:rsidP="00AD2FD6">
      <w:pPr>
        <w:spacing w:after="200" w:line="276" w:lineRule="auto"/>
        <w:ind w:left="720" w:hanging="720"/>
        <w:rPr>
          <w:bCs/>
          <w:color w:val="000000"/>
        </w:rPr>
      </w:pPr>
      <w:r w:rsidRPr="00EE494B">
        <w:rPr>
          <w:noProof/>
          <w:color w:val="000000"/>
        </w:rPr>
        <w:lastRenderedPageBreak/>
        <w:drawing>
          <wp:inline distT="0" distB="0" distL="0" distR="0" wp14:anchorId="5214014A" wp14:editId="691A5FE2">
            <wp:extent cx="6211674" cy="7795260"/>
            <wp:effectExtent l="0" t="0" r="0" b="0"/>
            <wp:docPr id="20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309" cy="7797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821942" w14:textId="77777777" w:rsidR="00AD2FD6" w:rsidRDefault="00AD2FD6" w:rsidP="001669E7">
      <w:pPr>
        <w:spacing w:after="200" w:line="276" w:lineRule="auto"/>
        <w:ind w:left="720"/>
        <w:rPr>
          <w:bCs/>
          <w:color w:val="000000"/>
        </w:rPr>
      </w:pPr>
    </w:p>
    <w:p w14:paraId="27F1B843" w14:textId="77777777" w:rsidR="00AD2FD6" w:rsidRDefault="00AD2FD6" w:rsidP="001669E7">
      <w:pPr>
        <w:spacing w:after="200" w:line="276" w:lineRule="auto"/>
        <w:ind w:left="720"/>
        <w:rPr>
          <w:bCs/>
          <w:color w:val="000000"/>
        </w:rPr>
      </w:pPr>
    </w:p>
    <w:p w14:paraId="6DA25323" w14:textId="77777777" w:rsidR="00AD2FD6" w:rsidRDefault="00AD2FD6" w:rsidP="001669E7">
      <w:pPr>
        <w:spacing w:after="200" w:line="276" w:lineRule="auto"/>
        <w:ind w:left="720"/>
        <w:rPr>
          <w:bCs/>
          <w:color w:val="000000"/>
        </w:rPr>
      </w:pPr>
    </w:p>
    <w:p w14:paraId="7BCD9BFF" w14:textId="77777777" w:rsidR="00AD2FD6" w:rsidRDefault="00AD2FD6" w:rsidP="001669E7">
      <w:pPr>
        <w:spacing w:after="200" w:line="276" w:lineRule="auto"/>
        <w:ind w:left="720"/>
        <w:rPr>
          <w:bCs/>
          <w:color w:val="000000"/>
        </w:rPr>
      </w:pPr>
    </w:p>
    <w:p w14:paraId="3D7825F5" w14:textId="77777777" w:rsidR="00AD2FD6" w:rsidRDefault="00AD2FD6" w:rsidP="001669E7">
      <w:pPr>
        <w:spacing w:after="200" w:line="276" w:lineRule="auto"/>
        <w:ind w:left="720"/>
        <w:rPr>
          <w:bCs/>
          <w:color w:val="000000"/>
        </w:rPr>
      </w:pPr>
    </w:p>
    <w:p w14:paraId="67714171" w14:textId="77777777" w:rsidR="00AD2FD6" w:rsidRDefault="00AD2FD6" w:rsidP="001669E7">
      <w:pPr>
        <w:spacing w:after="200" w:line="276" w:lineRule="auto"/>
        <w:ind w:left="720"/>
        <w:rPr>
          <w:bCs/>
          <w:color w:val="000000"/>
        </w:rPr>
      </w:pPr>
    </w:p>
    <w:p w14:paraId="216F3707" w14:textId="3B0A54C4" w:rsidR="001669E7" w:rsidRPr="00EE494B" w:rsidRDefault="001F56FF" w:rsidP="001F56FF">
      <w:pPr>
        <w:spacing w:after="200" w:line="276" w:lineRule="auto"/>
        <w:rPr>
          <w:bCs/>
          <w:color w:val="000000"/>
        </w:rPr>
      </w:pPr>
      <w:r>
        <w:rPr>
          <w:bCs/>
          <w:color w:val="000000"/>
        </w:rPr>
        <w:t xml:space="preserve">     </w:t>
      </w:r>
      <w:r w:rsidRPr="00EE494B">
        <w:rPr>
          <w:bCs/>
          <w:color w:val="000000"/>
        </w:rPr>
        <w:t xml:space="preserve">REACTIONS OF CITRIC ACID </w:t>
      </w:r>
      <w:proofErr w:type="gramStart"/>
      <w:r w:rsidRPr="00EE494B">
        <w:rPr>
          <w:bCs/>
          <w:color w:val="000000"/>
        </w:rPr>
        <w:t>CYCLE</w:t>
      </w:r>
      <w:r>
        <w:rPr>
          <w:bCs/>
          <w:color w:val="000000"/>
        </w:rPr>
        <w:t xml:space="preserve"> :</w:t>
      </w:r>
      <w:proofErr w:type="gramEnd"/>
    </w:p>
    <w:p w14:paraId="429ED971" w14:textId="77777777" w:rsidR="001669E7" w:rsidRPr="00EE494B" w:rsidRDefault="001669E7" w:rsidP="001669E7">
      <w:pPr>
        <w:numPr>
          <w:ilvl w:val="0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Oxidative decarboxylation of pyruvate to acetyl-</w:t>
      </w:r>
      <w:proofErr w:type="spellStart"/>
      <w:proofErr w:type="gramStart"/>
      <w:r w:rsidRPr="00EE494B">
        <w:rPr>
          <w:bCs/>
          <w:color w:val="000000"/>
        </w:rPr>
        <w:t>coA</w:t>
      </w:r>
      <w:proofErr w:type="spellEnd"/>
      <w:r w:rsidRPr="00EE494B">
        <w:rPr>
          <w:bCs/>
          <w:color w:val="000000"/>
        </w:rPr>
        <w:t xml:space="preserve">  by</w:t>
      </w:r>
      <w:proofErr w:type="gramEnd"/>
      <w:r w:rsidRPr="00EE494B">
        <w:rPr>
          <w:bCs/>
          <w:color w:val="000000"/>
        </w:rPr>
        <w:t xml:space="preserve"> pyruvate dehydrogenase complex.</w:t>
      </w:r>
    </w:p>
    <w:p w14:paraId="63088BFB" w14:textId="77777777" w:rsidR="001669E7" w:rsidRPr="00EE494B" w:rsidRDefault="001669E7" w:rsidP="001669E7">
      <w:pPr>
        <w:numPr>
          <w:ilvl w:val="0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This step is a connecting link between glycolysis and TCA cycle. </w:t>
      </w:r>
    </w:p>
    <w:p w14:paraId="59EF0468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Formation of Citrate</w:t>
      </w:r>
    </w:p>
    <w:p w14:paraId="4188FD05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Citrate is </w:t>
      </w:r>
      <w:proofErr w:type="spellStart"/>
      <w:r w:rsidRPr="00EE494B">
        <w:rPr>
          <w:bCs/>
          <w:color w:val="000000"/>
        </w:rPr>
        <w:t>isomerised</w:t>
      </w:r>
      <w:proofErr w:type="spellEnd"/>
      <w:r w:rsidRPr="00EE494B">
        <w:rPr>
          <w:bCs/>
          <w:color w:val="000000"/>
        </w:rPr>
        <w:t xml:space="preserve"> to iso-citrate</w:t>
      </w:r>
    </w:p>
    <w:p w14:paraId="3F5F9098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Isocitrate formation</w:t>
      </w:r>
    </w:p>
    <w:p w14:paraId="503AE0A6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Formation of </w:t>
      </w:r>
      <w:r w:rsidRPr="00EE494B">
        <w:rPr>
          <w:bCs/>
          <w:color w:val="000000"/>
          <w:lang w:val="el-GR"/>
        </w:rPr>
        <w:t>α</w:t>
      </w:r>
      <w:r w:rsidRPr="00EE494B">
        <w:rPr>
          <w:bCs/>
          <w:color w:val="000000"/>
        </w:rPr>
        <w:t xml:space="preserve">-keto </w:t>
      </w:r>
      <w:proofErr w:type="spellStart"/>
      <w:r w:rsidRPr="00EE494B">
        <w:rPr>
          <w:bCs/>
          <w:color w:val="000000"/>
        </w:rPr>
        <w:t>glutarate</w:t>
      </w:r>
      <w:proofErr w:type="spellEnd"/>
      <w:r w:rsidRPr="00EE494B">
        <w:rPr>
          <w:bCs/>
          <w:color w:val="000000"/>
        </w:rPr>
        <w:t xml:space="preserve"> </w:t>
      </w:r>
    </w:p>
    <w:p w14:paraId="7DC91A71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Conversion of </w:t>
      </w:r>
      <w:r w:rsidRPr="00EE494B">
        <w:rPr>
          <w:bCs/>
          <w:color w:val="000000"/>
          <w:lang w:val="el-GR"/>
        </w:rPr>
        <w:t>α</w:t>
      </w:r>
      <w:r w:rsidRPr="00EE494B">
        <w:rPr>
          <w:bCs/>
          <w:color w:val="000000"/>
        </w:rPr>
        <w:t xml:space="preserve">-keto </w:t>
      </w:r>
      <w:proofErr w:type="spellStart"/>
      <w:r w:rsidRPr="00EE494B">
        <w:rPr>
          <w:bCs/>
          <w:color w:val="000000"/>
        </w:rPr>
        <w:t>glutarate</w:t>
      </w:r>
      <w:proofErr w:type="spellEnd"/>
      <w:r w:rsidRPr="00EE494B">
        <w:rPr>
          <w:bCs/>
          <w:color w:val="000000"/>
        </w:rPr>
        <w:t xml:space="preserve"> to succinyl </w:t>
      </w:r>
      <w:proofErr w:type="spellStart"/>
      <w:r w:rsidRPr="00EE494B">
        <w:rPr>
          <w:bCs/>
          <w:color w:val="000000"/>
        </w:rPr>
        <w:t>coA</w:t>
      </w:r>
      <w:proofErr w:type="spellEnd"/>
      <w:r w:rsidRPr="00EE494B">
        <w:rPr>
          <w:bCs/>
          <w:color w:val="000000"/>
        </w:rPr>
        <w:t xml:space="preserve"> </w:t>
      </w:r>
    </w:p>
    <w:p w14:paraId="27084E99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Formation of succinate</w:t>
      </w:r>
    </w:p>
    <w:p w14:paraId="04BC0CA4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Conversion of succinate to </w:t>
      </w:r>
      <w:proofErr w:type="spellStart"/>
      <w:r w:rsidRPr="00EE494B">
        <w:rPr>
          <w:bCs/>
          <w:color w:val="000000"/>
        </w:rPr>
        <w:t>fumerate</w:t>
      </w:r>
      <w:proofErr w:type="spellEnd"/>
      <w:r w:rsidRPr="00EE494B">
        <w:rPr>
          <w:bCs/>
          <w:color w:val="000000"/>
        </w:rPr>
        <w:t xml:space="preserve"> </w:t>
      </w:r>
    </w:p>
    <w:p w14:paraId="3D3DA6E0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Formation of malate </w:t>
      </w:r>
    </w:p>
    <w:p w14:paraId="0137BB2B" w14:textId="77777777" w:rsidR="001669E7" w:rsidRPr="00EE494B" w:rsidRDefault="001669E7" w:rsidP="001669E7">
      <w:pPr>
        <w:numPr>
          <w:ilvl w:val="1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Conversion of malate to oxaloacetate </w:t>
      </w:r>
    </w:p>
    <w:p w14:paraId="402AD635" w14:textId="77777777" w:rsidR="00CE2958" w:rsidRPr="00B65A7E" w:rsidRDefault="00CE2958" w:rsidP="00CE2958">
      <w:pPr>
        <w:shd w:val="clear" w:color="auto" w:fill="FFFFFF"/>
        <w:spacing w:before="300" w:after="150" w:line="480" w:lineRule="atLeast"/>
        <w:outlineLvl w:val="1"/>
        <w:rPr>
          <w:b/>
          <w:bCs/>
          <w:lang w:eastAsia="en-IN" w:bidi="te-IN"/>
        </w:rPr>
      </w:pPr>
      <w:r w:rsidRPr="00B65A7E">
        <w:rPr>
          <w:b/>
          <w:bCs/>
          <w:lang w:eastAsia="en-IN" w:bidi="te-IN"/>
        </w:rPr>
        <w:t>SIGNIFICANCE OF KREBS CYCLE</w:t>
      </w:r>
      <w:r>
        <w:rPr>
          <w:b/>
          <w:bCs/>
          <w:lang w:eastAsia="en-IN" w:bidi="te-IN"/>
        </w:rPr>
        <w:t>:</w:t>
      </w:r>
    </w:p>
    <w:p w14:paraId="46689681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>Krebs cycle or Citric acid cycle is the final pathway of oxidation of glucose, fats and amino acids</w:t>
      </w:r>
    </w:p>
    <w:p w14:paraId="3562B83E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>Many animals are dependent on nutrients other than glucose as an energy source</w:t>
      </w:r>
    </w:p>
    <w:p w14:paraId="2742F326" w14:textId="77777777" w:rsidR="00CE2958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 xml:space="preserve">Amino acids (metabolic product of proteins) are deaminated and get converted to pyruvate and other intermediates of the Krebs cycle. They enter the cycle and get </w:t>
      </w:r>
      <w:proofErr w:type="spellStart"/>
      <w:r w:rsidRPr="00B65A7E">
        <w:rPr>
          <w:lang w:eastAsia="en-IN" w:bidi="te-IN"/>
        </w:rPr>
        <w:t>metabolised</w:t>
      </w:r>
      <w:proofErr w:type="spellEnd"/>
      <w:r>
        <w:rPr>
          <w:lang w:eastAsia="en-IN" w:bidi="te-IN"/>
        </w:rPr>
        <w:t>.</w:t>
      </w:r>
    </w:p>
    <w:p w14:paraId="4E76BD5D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proofErr w:type="gramStart"/>
      <w:r w:rsidRPr="00B65A7E">
        <w:rPr>
          <w:lang w:eastAsia="en-IN" w:bidi="te-IN"/>
        </w:rPr>
        <w:t>e.g.</w:t>
      </w:r>
      <w:proofErr w:type="gramEnd"/>
      <w:r w:rsidRPr="00B65A7E">
        <w:rPr>
          <w:lang w:eastAsia="en-IN" w:bidi="te-IN"/>
        </w:rPr>
        <w:t xml:space="preserve"> alanine is converted to pyruvate, glutamate to </w:t>
      </w:r>
      <w:r w:rsidRPr="00B65A7E">
        <w:rPr>
          <w:rFonts w:ascii="Cambria Math" w:hAnsi="Cambria Math" w:cs="Cambria Math"/>
          <w:lang w:eastAsia="en-IN" w:bidi="te-IN"/>
        </w:rPr>
        <w:t>𝝰</w:t>
      </w:r>
      <w:r w:rsidRPr="00B65A7E">
        <w:rPr>
          <w:lang w:eastAsia="en-IN" w:bidi="te-IN"/>
        </w:rPr>
        <w:t>-ketoglutarate, aspartate to oxaloacetate on deamination</w:t>
      </w:r>
    </w:p>
    <w:p w14:paraId="3C4B7A58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 xml:space="preserve">Fatty acids undergo </w:t>
      </w:r>
      <w:r w:rsidRPr="00B65A7E">
        <w:rPr>
          <w:rFonts w:ascii="Cambria Math" w:hAnsi="Cambria Math" w:cs="Cambria Math"/>
          <w:lang w:eastAsia="en-IN" w:bidi="te-IN"/>
        </w:rPr>
        <w:t>𝞫</w:t>
      </w:r>
      <w:r w:rsidRPr="00B65A7E">
        <w:rPr>
          <w:lang w:eastAsia="en-IN" w:bidi="te-IN"/>
        </w:rPr>
        <w:t>-oxidation to form acetyl CoA, which enters the Krebs cycle</w:t>
      </w:r>
    </w:p>
    <w:p w14:paraId="36A1487A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>It is the major source of ATP production in the cells. A large amount of energy is produced after complete oxidation of nutrients</w:t>
      </w:r>
    </w:p>
    <w:p w14:paraId="6466473C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>It plays an important role in gluconeogenesis and lipogenesis and interconversion of amino acids</w:t>
      </w:r>
    </w:p>
    <w:p w14:paraId="42C7BD9C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>Many intermediate compounds are used in the synthesis of amino acids, nucleotides, cytochromes and chlorophylls, etc.</w:t>
      </w:r>
    </w:p>
    <w:p w14:paraId="03C1EA55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lastRenderedPageBreak/>
        <w:t>Vitamins play an important role in the citric acid cycle. Riboflavin, niacin, thiamin and pantothenic acid as a part of various enzymes cofactors (FAD, NAD) and coenzyme A</w:t>
      </w:r>
    </w:p>
    <w:p w14:paraId="41477E7E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>Regulation of Krebs cycle depends on the supply of NAD</w:t>
      </w:r>
      <w:r w:rsidRPr="00B65A7E">
        <w:rPr>
          <w:vertAlign w:val="superscript"/>
          <w:lang w:eastAsia="en-IN" w:bidi="te-IN"/>
        </w:rPr>
        <w:t>+</w:t>
      </w:r>
      <w:r w:rsidRPr="00B65A7E">
        <w:rPr>
          <w:lang w:eastAsia="en-IN" w:bidi="te-IN"/>
        </w:rPr>
        <w:t> and utilization of ATP in physical and chemical work</w:t>
      </w:r>
    </w:p>
    <w:p w14:paraId="6ECC89C7" w14:textId="77777777" w:rsidR="00CE2958" w:rsidRPr="00B65A7E" w:rsidRDefault="00CE2958" w:rsidP="00CE2958">
      <w:pPr>
        <w:numPr>
          <w:ilvl w:val="0"/>
          <w:numId w:val="3"/>
        </w:numPr>
        <w:shd w:val="clear" w:color="auto" w:fill="FFFFFF"/>
        <w:spacing w:before="100" w:beforeAutospacing="1" w:after="75"/>
        <w:rPr>
          <w:lang w:eastAsia="en-IN" w:bidi="te-IN"/>
        </w:rPr>
      </w:pPr>
      <w:r w:rsidRPr="00B65A7E">
        <w:rPr>
          <w:lang w:eastAsia="en-IN" w:bidi="te-IN"/>
        </w:rPr>
        <w:t>The genetic defects of the Krebs cycle enzymes are associated with neural damage</w:t>
      </w:r>
      <w:r>
        <w:rPr>
          <w:lang w:eastAsia="en-IN" w:bidi="te-IN"/>
        </w:rPr>
        <w:t>.</w:t>
      </w:r>
    </w:p>
    <w:p w14:paraId="37CE879C" w14:textId="77777777" w:rsidR="00CE2958" w:rsidRPr="00B65A7E" w:rsidRDefault="00CE2958" w:rsidP="00CE2958"/>
    <w:p w14:paraId="07EEB7DD" w14:textId="639D758E" w:rsidR="008D03F2" w:rsidRDefault="008D03F2"/>
    <w:sectPr w:rsidR="008D03F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2ADD3" w14:textId="77777777" w:rsidR="002B5904" w:rsidRDefault="002B5904" w:rsidP="003C22DF">
      <w:r>
        <w:separator/>
      </w:r>
    </w:p>
  </w:endnote>
  <w:endnote w:type="continuationSeparator" w:id="0">
    <w:p w14:paraId="241B895B" w14:textId="77777777" w:rsidR="002B5904" w:rsidRDefault="002B5904" w:rsidP="003C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53572" w14:textId="07DAE154" w:rsidR="003C22DF" w:rsidRPr="003C22DF" w:rsidRDefault="003C22DF">
    <w:pPr>
      <w:pStyle w:val="Footer"/>
      <w:rPr>
        <w:i/>
        <w:iCs/>
      </w:rPr>
    </w:pPr>
    <w:r w:rsidRPr="003C22DF">
      <w:rPr>
        <w:i/>
        <w:iCs/>
      </w:rPr>
      <w:t>RAGHU COLLEGE OF PHARMACY</w:t>
    </w:r>
    <w:r w:rsidRPr="003C22DF">
      <w:rPr>
        <w:i/>
        <w:iCs/>
      </w:rPr>
      <w:ptab w:relativeTo="margin" w:alignment="center" w:leader="none"/>
    </w:r>
    <w:r w:rsidRPr="003C22DF">
      <w:rPr>
        <w:i/>
        <w:iCs/>
      </w:rPr>
      <w:ptab w:relativeTo="margin" w:alignment="right" w:leader="none"/>
    </w:r>
    <w:r w:rsidRPr="003C22DF">
      <w:rPr>
        <w:i/>
        <w:iCs/>
      </w:rPr>
      <w:t>LESSON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C65D7" w14:textId="77777777" w:rsidR="002B5904" w:rsidRDefault="002B5904" w:rsidP="003C22DF">
      <w:r>
        <w:separator/>
      </w:r>
    </w:p>
  </w:footnote>
  <w:footnote w:type="continuationSeparator" w:id="0">
    <w:p w14:paraId="15DCAEBD" w14:textId="77777777" w:rsidR="002B5904" w:rsidRDefault="002B5904" w:rsidP="003C2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25E23" w14:textId="39CE02B0" w:rsidR="003C22DF" w:rsidRPr="003C22DF" w:rsidRDefault="003C22DF">
    <w:pPr>
      <w:pStyle w:val="Header"/>
      <w:rPr>
        <w:i/>
        <w:iCs/>
      </w:rPr>
    </w:pPr>
    <w:r w:rsidRPr="003C22DF">
      <w:rPr>
        <w:i/>
        <w:iCs/>
      </w:rPr>
      <w:t>BIOCHEMISTRY</w:t>
    </w:r>
    <w:r w:rsidRPr="003C22DF">
      <w:rPr>
        <w:i/>
        <w:iCs/>
      </w:rPr>
      <w:ptab w:relativeTo="margin" w:alignment="center" w:leader="none"/>
    </w:r>
    <w:r w:rsidRPr="003C22DF">
      <w:rPr>
        <w:i/>
        <w:iCs/>
      </w:rPr>
      <w:ptab w:relativeTo="margin" w:alignment="right" w:leader="none"/>
    </w:r>
    <w:r w:rsidRPr="003C22DF">
      <w:rPr>
        <w:i/>
        <w:iCs/>
      </w:rPr>
      <w:t>CITRIC ACID CYCLE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00955"/>
    <w:multiLevelType w:val="multilevel"/>
    <w:tmpl w:val="597A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4D0CB9"/>
    <w:multiLevelType w:val="hybridMultilevel"/>
    <w:tmpl w:val="94029198"/>
    <w:lvl w:ilvl="0" w:tplc="15664AA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40D8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18B5D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A62E2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1C859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6C97A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ACFF0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26144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FE59D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A62D2"/>
    <w:multiLevelType w:val="hybridMultilevel"/>
    <w:tmpl w:val="CDFA94F6"/>
    <w:lvl w:ilvl="0" w:tplc="0780096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B42F4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38655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21BB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2A12D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664EC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4C859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8ED6B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D4E0C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7218501">
    <w:abstractNumId w:val="2"/>
  </w:num>
  <w:num w:numId="2" w16cid:durableId="114300688">
    <w:abstractNumId w:val="1"/>
  </w:num>
  <w:num w:numId="3" w16cid:durableId="19870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E7"/>
    <w:rsid w:val="001669E7"/>
    <w:rsid w:val="001F56FF"/>
    <w:rsid w:val="002B525D"/>
    <w:rsid w:val="002B5904"/>
    <w:rsid w:val="003C22DF"/>
    <w:rsid w:val="008D03F2"/>
    <w:rsid w:val="00AD2FD6"/>
    <w:rsid w:val="00CE2958"/>
    <w:rsid w:val="00FD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FE4A5"/>
  <w15:chartTrackingRefBased/>
  <w15:docId w15:val="{F32E66EC-BB4F-4FB2-BDCC-77D80B0C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9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2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2D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22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2D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v</dc:creator>
  <cp:keywords/>
  <dc:description/>
  <cp:lastModifiedBy>gopi v</cp:lastModifiedBy>
  <cp:revision>2</cp:revision>
  <dcterms:created xsi:type="dcterms:W3CDTF">2023-09-12T16:46:00Z</dcterms:created>
  <dcterms:modified xsi:type="dcterms:W3CDTF">2023-09-13T09:02:00Z</dcterms:modified>
</cp:coreProperties>
</file>