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DD76D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DE5B24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399F87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94AAB3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5AB54D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CF9A07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B2E5B0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30F0BA" w14:textId="77777777" w:rsidR="00E02283" w:rsidRDefault="00E02283" w:rsidP="00E02283">
      <w:pPr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</w:p>
    <w:p w14:paraId="5E3E0E60" w14:textId="730BCFD4" w:rsidR="00E02283" w:rsidRPr="00E02283" w:rsidRDefault="00E02283" w:rsidP="00E02283">
      <w:pPr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 w:rsidRPr="00E02283">
        <w:rPr>
          <w:rFonts w:ascii="Times New Roman" w:hAnsi="Times New Roman" w:cs="Times New Roman"/>
          <w:b/>
          <w:bCs/>
          <w:i/>
          <w:iCs/>
          <w:sz w:val="56"/>
          <w:szCs w:val="56"/>
        </w:rPr>
        <w:t>BIOSYNTHESIS OF PYRIMIDINES</w:t>
      </w:r>
    </w:p>
    <w:p w14:paraId="4051A4A9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152A7D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5146A6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C3FAE6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E6AC58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80F0DF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FD405D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B33C4F" w14:textId="77777777" w:rsidR="00D871EB" w:rsidRDefault="00E02283" w:rsidP="00E02283">
      <w:pPr>
        <w:spacing w:after="200" w:line="276" w:lineRule="auto"/>
        <w:ind w:right="-472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</w:t>
      </w:r>
    </w:p>
    <w:p w14:paraId="7F59139E" w14:textId="77777777" w:rsidR="00D871EB" w:rsidRDefault="00D871EB" w:rsidP="00E02283">
      <w:pPr>
        <w:spacing w:after="200" w:line="276" w:lineRule="auto"/>
        <w:ind w:right="-472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7CDA22EC" w14:textId="631D8A8C" w:rsidR="00E02283" w:rsidRPr="005C25D7" w:rsidRDefault="00E02283" w:rsidP="00E02283">
      <w:pPr>
        <w:spacing w:after="200" w:line="276" w:lineRule="auto"/>
        <w:ind w:right="-472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  </w:t>
      </w: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PREPARED BY:</w:t>
      </w:r>
    </w:p>
    <w:p w14:paraId="577AC3A0" w14:textId="77777777" w:rsidR="00E02283" w:rsidRPr="005C25D7" w:rsidRDefault="00E02283" w:rsidP="00E02283">
      <w:pPr>
        <w:spacing w:after="200" w:line="276" w:lineRule="auto"/>
        <w:ind w:left="720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T. PRIYANKA</w:t>
      </w:r>
    </w:p>
    <w:p w14:paraId="1BAFAFC3" w14:textId="77777777" w:rsidR="00E02283" w:rsidRPr="005C25D7" w:rsidRDefault="00E02283" w:rsidP="00E02283">
      <w:pPr>
        <w:spacing w:after="200" w:line="276" w:lineRule="auto"/>
        <w:ind w:left="720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Assistant Professor</w:t>
      </w:r>
    </w:p>
    <w:p w14:paraId="3DF68F20" w14:textId="77777777" w:rsidR="00E02283" w:rsidRPr="005C25D7" w:rsidRDefault="00E02283" w:rsidP="00E02283">
      <w:pPr>
        <w:spacing w:after="200" w:line="276" w:lineRule="auto"/>
        <w:ind w:left="720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Department of Pharmaceutical Analysis</w:t>
      </w:r>
    </w:p>
    <w:p w14:paraId="6303004C" w14:textId="69957DB6" w:rsidR="00E02283" w:rsidRDefault="00E02283" w:rsidP="00E0228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8E7E9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Raghu College Of Pharmacy</w:t>
      </w:r>
    </w:p>
    <w:p w14:paraId="0462E7C4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81600C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96A5B1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618E14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CFF574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6EF981" w14:textId="77777777" w:rsidR="00E02283" w:rsidRDefault="00E022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412D57" w14:textId="066A59D5" w:rsidR="0043765D" w:rsidRDefault="004376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765D">
        <w:rPr>
          <w:rFonts w:ascii="Times New Roman" w:hAnsi="Times New Roman" w:cs="Times New Roman"/>
          <w:b/>
          <w:bCs/>
          <w:sz w:val="24"/>
          <w:szCs w:val="24"/>
        </w:rPr>
        <w:t>BIOSYNTHESIS OF PYRIMIDINES:</w:t>
      </w:r>
    </w:p>
    <w:p w14:paraId="67CB2B17" w14:textId="3904E671" w:rsidR="00D264FF" w:rsidRPr="0043765D" w:rsidRDefault="00E0234C" w:rsidP="00E0234C">
      <w:pPr>
        <w:tabs>
          <w:tab w:val="center" w:pos="3922"/>
        </w:tabs>
        <w:ind w:left="1701" w:firstLine="2268"/>
        <w:rPr>
          <w:rFonts w:ascii="Times New Roman" w:hAnsi="Times New Roman" w:cs="Times New Roman"/>
          <w:b/>
          <w:bCs/>
          <w:sz w:val="24"/>
          <w:szCs w:val="24"/>
        </w:rPr>
      </w:pPr>
      <w:r w:rsidRPr="00D264FF">
        <w:rPr>
          <w:rFonts w:ascii="Times New Roman" w:hAnsi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557E790" wp14:editId="405E166D">
            <wp:simplePos x="0" y="0"/>
            <wp:positionH relativeFrom="column">
              <wp:posOffset>1688123</wp:posOffset>
            </wp:positionH>
            <wp:positionV relativeFrom="paragraph">
              <wp:posOffset>146539</wp:posOffset>
            </wp:positionV>
            <wp:extent cx="2072820" cy="838273"/>
            <wp:effectExtent l="0" t="0" r="3810" b="0"/>
            <wp:wrapSquare wrapText="bothSides"/>
            <wp:docPr id="11575449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54493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0" cy="838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64F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264FF"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</w:r>
    </w:p>
    <w:p w14:paraId="2C089719" w14:textId="02ECA34B" w:rsidR="00A61D32" w:rsidRPr="0043765D" w:rsidRDefault="00A61D32">
      <w:pPr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>The synthesis of pyrimidines is a much simpler process compared to that of purines.</w:t>
      </w:r>
    </w:p>
    <w:p w14:paraId="76801EC1" w14:textId="5E3F2896" w:rsidR="00A61D32" w:rsidRPr="0043765D" w:rsidRDefault="00A61D32">
      <w:pPr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 Aspartate, glutamine (amide group) and CO2 contribute to atoms in the formation of pyrimidine ring. </w:t>
      </w:r>
    </w:p>
    <w:p w14:paraId="323F2006" w14:textId="77777777" w:rsidR="00A61D32" w:rsidRPr="0043765D" w:rsidRDefault="00A61D32">
      <w:pPr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>Pyrimidine ring is first synthesized and then attached to ribose 5-phosphate.</w:t>
      </w:r>
    </w:p>
    <w:p w14:paraId="649A7591" w14:textId="77777777" w:rsidR="00A61D32" w:rsidRPr="0043765D" w:rsidRDefault="00A61D32">
      <w:pPr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 This is in contrast to purine nucleotide synthesis wherein purine ring is built upon a pre-existing ribose 5-phosphate. </w:t>
      </w:r>
    </w:p>
    <w:p w14:paraId="6ED29B20" w14:textId="77777777" w:rsidR="00A61D32" w:rsidRPr="0043765D" w:rsidRDefault="00A61D32">
      <w:pPr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The pathway of pyrimidine synthesis is depicted in Fig.17.12, and the salient features are described below. </w:t>
      </w:r>
    </w:p>
    <w:p w14:paraId="35379ABD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Glutamine transfers its amido nitrogen to CO2 to produce carbamoyl phosphate. </w:t>
      </w:r>
    </w:p>
    <w:p w14:paraId="4E702345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This reaction is ATP-dependent and is catalysed by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cytosomal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enzyme carbamoyl phosphate synthetase II (CPS II). </w:t>
      </w:r>
    </w:p>
    <w:p w14:paraId="6187567A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CPS II is activated by ATP and PRPP and inhibited by UTP. </w:t>
      </w:r>
    </w:p>
    <w:p w14:paraId="3DD5638E" w14:textId="37C5B71E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Carbamoyl phosphate synthetase I (CPS I) </w:t>
      </w:r>
      <w:proofErr w:type="gramStart"/>
      <w:r w:rsidRPr="0043765D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43765D">
        <w:rPr>
          <w:rFonts w:ascii="Times New Roman" w:hAnsi="Times New Roman" w:cs="Times New Roman"/>
          <w:sz w:val="24"/>
          <w:szCs w:val="24"/>
        </w:rPr>
        <w:t xml:space="preserve"> a mitochondrial enzyme which synthesizes carbamoyl phosphate from ammonia and CO2 and, in turn urea</w:t>
      </w:r>
      <w:r w:rsidRPr="0043765D">
        <w:rPr>
          <w:rFonts w:ascii="Times New Roman" w:hAnsi="Times New Roman" w:cs="Times New Roman"/>
          <w:sz w:val="24"/>
          <w:szCs w:val="24"/>
        </w:rPr>
        <w:t>.</w:t>
      </w:r>
      <w:r w:rsidRPr="004376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0BC943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Prokaryotes have only one carbamoyl phosphate synthetase which is responsible for the biosynthesis of arginine and pyrimidines. </w:t>
      </w:r>
    </w:p>
    <w:p w14:paraId="146F098A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Carbamoyl phosphate condenses with aspartate to form carbamoyl aspartate. </w:t>
      </w:r>
    </w:p>
    <w:p w14:paraId="276EF57B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This reaction is catalysed by aspartate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transcarbamoylase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F9C4AF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>Dihydroorotase catalyses the pyrimidine ring closure with a loss of H2O.</w:t>
      </w:r>
    </w:p>
    <w:p w14:paraId="3FA648B4" w14:textId="1BD7A1B8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The three enzymes—CPS II, aspartate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transcarbamoylase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and dihydroorotase are the domains (functional units) of the same protein.</w:t>
      </w:r>
    </w:p>
    <w:p w14:paraId="574DCFD4" w14:textId="2388FF5C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This is a good example of a multifunctional enzyme. </w:t>
      </w:r>
    </w:p>
    <w:p w14:paraId="096848BC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The next step in pyrimidine synthesis is an NAD+ dependent dehydrogenation, leading to the formation of orotate. </w:t>
      </w:r>
    </w:p>
    <w:p w14:paraId="20C198A4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Ribose 5-phosphate is now added to orotate to produce orotidine monophosphate (OMP). </w:t>
      </w:r>
    </w:p>
    <w:p w14:paraId="0F2244D4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lastRenderedPageBreak/>
        <w:t xml:space="preserve">This reaction is catalysed by orotate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phospho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/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ribosyltransferase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, an enzyme comparable with HGPRT in its function. </w:t>
      </w:r>
    </w:p>
    <w:p w14:paraId="007A3532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>OMP undergoes decarboxylation to uridine mono-phosphate (UMP).</w:t>
      </w:r>
    </w:p>
    <w:p w14:paraId="15E1233A" w14:textId="51B5536E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Orotate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phosphoribosyltransferase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and OMP decarboxylase are domains of a single protein. </w:t>
      </w:r>
    </w:p>
    <w:p w14:paraId="2215479E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A defect in this bifunctional enzyme causes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orotic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aciduria (details given later). </w:t>
      </w:r>
    </w:p>
    <w:p w14:paraId="5154648F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By an ATP-dependent kinase reaction, UMP is converted to UDP which serves as a precursor for the synthesis of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dUMP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, dTMP, UTP and CTP. </w:t>
      </w:r>
    </w:p>
    <w:p w14:paraId="5A0AD6F9" w14:textId="02350300" w:rsidR="001153BA" w:rsidRPr="00DF0DA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Ribonucleotide reductase converts UDP to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dUDP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by a thioredoxin-dependent reaction. </w:t>
      </w:r>
    </w:p>
    <w:p w14:paraId="274185B9" w14:textId="5A8715B6" w:rsidR="001153BA" w:rsidRDefault="001153BA" w:rsidP="00DF0DAD">
      <w:pPr>
        <w:spacing w:line="360" w:lineRule="auto"/>
        <w:ind w:firstLine="993"/>
      </w:pPr>
      <w:r>
        <w:rPr>
          <w:noProof/>
        </w:rPr>
        <w:drawing>
          <wp:inline distT="0" distB="0" distL="0" distR="0" wp14:anchorId="0B58D471" wp14:editId="303B7057">
            <wp:extent cx="4314190" cy="4604203"/>
            <wp:effectExtent l="0" t="0" r="0" b="6350"/>
            <wp:docPr id="606560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56013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7265" cy="462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5AA0C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Thymidylate synthetase catalyses the transfer of a methyl group from N5, N10-methylene tetrahydrofolate to produce deoxythymidine monophosphate (dTMP). </w:t>
      </w:r>
    </w:p>
    <w:p w14:paraId="0A10E941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UDP undergoes an ATP-dependent kinase reaction to produce UTP. </w:t>
      </w:r>
    </w:p>
    <w:p w14:paraId="7EE7DD71" w14:textId="77777777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>Cytidine triphosphate (CTP) is synthesized from UTP by amination.</w:t>
      </w:r>
    </w:p>
    <w:p w14:paraId="1A473724" w14:textId="09A42F8B" w:rsidR="00A61D32" w:rsidRPr="0043765D" w:rsidRDefault="00A61D32" w:rsidP="001153B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lastRenderedPageBreak/>
        <w:t xml:space="preserve">CTP synthetase is the enzyme and glutamine </w:t>
      </w:r>
      <w:proofErr w:type="gramStart"/>
      <w:r w:rsidRPr="0043765D">
        <w:rPr>
          <w:rFonts w:ascii="Times New Roman" w:hAnsi="Times New Roman" w:cs="Times New Roman"/>
          <w:sz w:val="24"/>
          <w:szCs w:val="24"/>
        </w:rPr>
        <w:t>provides</w:t>
      </w:r>
      <w:proofErr w:type="gramEnd"/>
      <w:r w:rsidRPr="0043765D">
        <w:rPr>
          <w:rFonts w:ascii="Times New Roman" w:hAnsi="Times New Roman" w:cs="Times New Roman"/>
          <w:sz w:val="24"/>
          <w:szCs w:val="24"/>
        </w:rPr>
        <w:t xml:space="preserve"> the nitrogen. </w:t>
      </w:r>
    </w:p>
    <w:p w14:paraId="06700D6A" w14:textId="6CE5F688" w:rsidR="001153BA" w:rsidRPr="0043765D" w:rsidRDefault="00A61D3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765D">
        <w:rPr>
          <w:rFonts w:ascii="Times New Roman" w:hAnsi="Times New Roman" w:cs="Times New Roman"/>
          <w:b/>
          <w:bCs/>
          <w:sz w:val="24"/>
          <w:szCs w:val="24"/>
        </w:rPr>
        <w:t xml:space="preserve">Regulation of pyrimidine synthesis </w:t>
      </w:r>
    </w:p>
    <w:p w14:paraId="320DB9F7" w14:textId="0BA2FA7C" w:rsidR="00A61D32" w:rsidRPr="0043765D" w:rsidRDefault="00A61D32" w:rsidP="0043765D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b/>
          <w:bCs/>
          <w:sz w:val="24"/>
          <w:szCs w:val="24"/>
        </w:rPr>
        <w:t>In bacteria</w:t>
      </w:r>
      <w:r w:rsidRPr="0043765D">
        <w:rPr>
          <w:rFonts w:ascii="Times New Roman" w:hAnsi="Times New Roman" w:cs="Times New Roman"/>
          <w:sz w:val="24"/>
          <w:szCs w:val="24"/>
        </w:rPr>
        <w:t xml:space="preserve">, aspartate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transcarbamoylase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ATCase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>) catalyses a committed step in</w:t>
      </w:r>
      <w:r w:rsidRPr="0043765D">
        <w:rPr>
          <w:rFonts w:ascii="Times New Roman" w:hAnsi="Times New Roman" w:cs="Times New Roman"/>
          <w:sz w:val="24"/>
          <w:szCs w:val="24"/>
        </w:rPr>
        <w:t xml:space="preserve"> </w:t>
      </w:r>
      <w:r w:rsidRPr="0043765D">
        <w:rPr>
          <w:rFonts w:ascii="Times New Roman" w:hAnsi="Times New Roman" w:cs="Times New Roman"/>
          <w:sz w:val="24"/>
          <w:szCs w:val="24"/>
        </w:rPr>
        <w:t>pyrimidine biosynthesis.</w:t>
      </w:r>
    </w:p>
    <w:p w14:paraId="56A03146" w14:textId="5148B917" w:rsidR="00A61D32" w:rsidRPr="0043765D" w:rsidRDefault="00A61D32" w:rsidP="0043765D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765D">
        <w:rPr>
          <w:rFonts w:ascii="Times New Roman" w:hAnsi="Times New Roman" w:cs="Times New Roman"/>
          <w:sz w:val="24"/>
          <w:szCs w:val="24"/>
        </w:rPr>
        <w:t>ATCase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is a good example of an enzyme controlled by feedback mechanism by the end product CTP. In certain bacteria, UTP also inhibits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ATCase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9CD00C" w14:textId="77777777" w:rsidR="00A61D32" w:rsidRPr="0043765D" w:rsidRDefault="00A61D32" w:rsidP="0043765D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ATP, however, stimulates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ATCase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activity.</w:t>
      </w:r>
    </w:p>
    <w:p w14:paraId="40D3D836" w14:textId="3425BF7C" w:rsidR="00A61D32" w:rsidRPr="0043765D" w:rsidRDefault="00A61D32" w:rsidP="0043765D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Carbamoyl phosphate synthetase II (CPS II) is the regulatory enzyme of pyrimidine synthesis in animals. </w:t>
      </w:r>
    </w:p>
    <w:p w14:paraId="64645A9B" w14:textId="77777777" w:rsidR="00A61D32" w:rsidRPr="0043765D" w:rsidRDefault="00A61D32" w:rsidP="0043765D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It is activated by PRPP and ATP and inhibited by UDP and UTP. </w:t>
      </w:r>
    </w:p>
    <w:p w14:paraId="1E773F02" w14:textId="31E61FF2" w:rsidR="00A61D32" w:rsidRPr="0043765D" w:rsidRDefault="00A61D32" w:rsidP="0043765D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>OMP decarboxylase, inhibited by UMP and CMP, also controls pyrimidine formation.</w:t>
      </w:r>
    </w:p>
    <w:p w14:paraId="6684165F" w14:textId="77777777" w:rsidR="00A61D32" w:rsidRPr="0043765D" w:rsidRDefault="00A61D3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765D">
        <w:rPr>
          <w:rFonts w:ascii="Times New Roman" w:hAnsi="Times New Roman" w:cs="Times New Roman"/>
          <w:b/>
          <w:bCs/>
          <w:sz w:val="24"/>
          <w:szCs w:val="24"/>
        </w:rPr>
        <w:t xml:space="preserve">Degradation of pyrimidine nucleotides </w:t>
      </w:r>
    </w:p>
    <w:p w14:paraId="6A52D6E0" w14:textId="77777777" w:rsidR="00A61D32" w:rsidRPr="0043765D" w:rsidRDefault="00A61D32">
      <w:pPr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The pyrimidine nucleotides undergo similar reactions (dephosphorylation, deamination and cleavage of glycosidic bond) like that of purine nucleotides to liberate the nitrogenous bases— cytosine, uracil and thymine. </w:t>
      </w:r>
    </w:p>
    <w:p w14:paraId="2F2ECE60" w14:textId="77777777" w:rsidR="00A61D32" w:rsidRPr="0043765D" w:rsidRDefault="00A61D32">
      <w:pPr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>The bases are then degraded to highly soluble products—`-alanine and `-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aminoisobutyrate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24BDB1" w14:textId="77777777" w:rsidR="00A61D32" w:rsidRPr="0043765D" w:rsidRDefault="00A61D32">
      <w:pPr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These are the amino acids which undergo transamination and other reactions to finally produce acetyl CoA and succinyl CoA. </w:t>
      </w:r>
    </w:p>
    <w:p w14:paraId="08A7DD3C" w14:textId="77777777" w:rsidR="00A61D32" w:rsidRPr="0043765D" w:rsidRDefault="00A61D3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765D">
        <w:rPr>
          <w:rFonts w:ascii="Times New Roman" w:hAnsi="Times New Roman" w:cs="Times New Roman"/>
          <w:b/>
          <w:bCs/>
          <w:sz w:val="24"/>
          <w:szCs w:val="24"/>
        </w:rPr>
        <w:t>Salvage pathway</w:t>
      </w:r>
    </w:p>
    <w:p w14:paraId="451D7928" w14:textId="77777777" w:rsidR="00A61D32" w:rsidRPr="0043765D" w:rsidRDefault="00A61D32">
      <w:pPr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 The pyrimidines (like purines) can also serve as precursors in the salvage pathway to be converted to the respective nucleotides.</w:t>
      </w:r>
    </w:p>
    <w:p w14:paraId="0A4E8942" w14:textId="77777777" w:rsidR="00A61D32" w:rsidRPr="0043765D" w:rsidRDefault="00A61D32">
      <w:pPr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 This reaction is catalysed by pyrimidine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phosphoribosyltransferase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which utilizes PRPP as the source of ribose 5-phosphate. </w:t>
      </w:r>
    </w:p>
    <w:p w14:paraId="366DE6A8" w14:textId="77777777" w:rsidR="001153BA" w:rsidRPr="0043765D" w:rsidRDefault="00A61D3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765D">
        <w:rPr>
          <w:rFonts w:ascii="Times New Roman" w:hAnsi="Times New Roman" w:cs="Times New Roman"/>
          <w:b/>
          <w:bCs/>
          <w:sz w:val="24"/>
          <w:szCs w:val="24"/>
        </w:rPr>
        <w:t xml:space="preserve">Disorders of pyrimidine metabolism </w:t>
      </w:r>
    </w:p>
    <w:p w14:paraId="60240BE9" w14:textId="0B0334FC" w:rsidR="001153BA" w:rsidRPr="0043765D" w:rsidRDefault="00A61D3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3765D">
        <w:rPr>
          <w:rFonts w:ascii="Times New Roman" w:hAnsi="Times New Roman" w:cs="Times New Roman"/>
          <w:b/>
          <w:bCs/>
          <w:sz w:val="24"/>
          <w:szCs w:val="24"/>
        </w:rPr>
        <w:t>Orotic</w:t>
      </w:r>
      <w:proofErr w:type="spellEnd"/>
      <w:r w:rsidRPr="0043765D">
        <w:rPr>
          <w:rFonts w:ascii="Times New Roman" w:hAnsi="Times New Roman" w:cs="Times New Roman"/>
          <w:b/>
          <w:bCs/>
          <w:sz w:val="24"/>
          <w:szCs w:val="24"/>
        </w:rPr>
        <w:t xml:space="preserve"> aciduria</w:t>
      </w:r>
      <w:r w:rsidRPr="0043765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1EBA779" w14:textId="77777777" w:rsidR="001153BA" w:rsidRPr="0043765D" w:rsidRDefault="00A61D32" w:rsidP="001153B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This is a rare metabolic disorder characterized by the excretion of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orotic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acid in urine, severe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anemia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and retarded growth.</w:t>
      </w:r>
    </w:p>
    <w:p w14:paraId="06F0CFE7" w14:textId="10230A2A" w:rsidR="001153BA" w:rsidRPr="0043765D" w:rsidRDefault="00A61D32" w:rsidP="001153B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It is due to the deficiency of the enzymes orotate phosphoribosyl transferase and OMP decarboxylase of pyrimidine synthesis. </w:t>
      </w:r>
    </w:p>
    <w:p w14:paraId="7A358AE2" w14:textId="2884BA6E" w:rsidR="001153BA" w:rsidRPr="0043765D" w:rsidRDefault="00A61D32" w:rsidP="001153B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Both these enzyme activities are present on a single protein as domains (bifunctional enzyme). </w:t>
      </w:r>
    </w:p>
    <w:p w14:paraId="2D51F2B6" w14:textId="77777777" w:rsidR="001153BA" w:rsidRPr="0043765D" w:rsidRDefault="00A61D32" w:rsidP="001153B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Feeding diet rich in uridine and/or cytidine is an effective treatment for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orotic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aciduria. </w:t>
      </w:r>
    </w:p>
    <w:p w14:paraId="0DF8A95B" w14:textId="77777777" w:rsidR="001153BA" w:rsidRPr="0043765D" w:rsidRDefault="00A61D32" w:rsidP="001153B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lastRenderedPageBreak/>
        <w:t xml:space="preserve">These compounds provide (through phosphorylation) pyrimidine nucleotides required for DNA and RNA synthesis. </w:t>
      </w:r>
    </w:p>
    <w:p w14:paraId="13425FFC" w14:textId="3BD8F9EC" w:rsidR="001153BA" w:rsidRPr="0043765D" w:rsidRDefault="00A61D32" w:rsidP="001153B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Besides this, UTP inhibits carbamoyl phosphate synthetase II and blocks synthesis of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orotic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acid.</w:t>
      </w:r>
    </w:p>
    <w:p w14:paraId="0055C9FF" w14:textId="551E6B32" w:rsidR="001153BA" w:rsidRPr="0043765D" w:rsidRDefault="00A61D32">
      <w:pPr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 </w:t>
      </w:r>
      <w:r w:rsidRPr="0043765D">
        <w:rPr>
          <w:rFonts w:ascii="Times New Roman" w:hAnsi="Times New Roman" w:cs="Times New Roman"/>
          <w:b/>
          <w:bCs/>
          <w:sz w:val="24"/>
          <w:szCs w:val="24"/>
        </w:rPr>
        <w:t>Reye’s syndrome</w:t>
      </w:r>
      <w:r w:rsidRPr="0043765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A4511C8" w14:textId="77777777" w:rsidR="001153BA" w:rsidRPr="0043765D" w:rsidRDefault="00A61D32" w:rsidP="001153B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This is considered as a secondary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orotic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aciduria. </w:t>
      </w:r>
    </w:p>
    <w:p w14:paraId="1CA42AD9" w14:textId="375DF321" w:rsidR="001153BA" w:rsidRPr="0043765D" w:rsidRDefault="00A61D32" w:rsidP="001153B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It is believed that a defect in ornithine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transcarbamoylase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(of urea cycle) causes the accumulation of carbamoyl phosphate. </w:t>
      </w:r>
    </w:p>
    <w:p w14:paraId="0907172F" w14:textId="610C7E81" w:rsidR="00A61D32" w:rsidRPr="0043765D" w:rsidRDefault="00A61D32" w:rsidP="001153BA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65D">
        <w:rPr>
          <w:rFonts w:ascii="Times New Roman" w:hAnsi="Times New Roman" w:cs="Times New Roman"/>
          <w:sz w:val="24"/>
          <w:szCs w:val="24"/>
        </w:rPr>
        <w:t xml:space="preserve">This is then diverted for the increased synthesis and excretion of </w:t>
      </w:r>
      <w:proofErr w:type="spellStart"/>
      <w:r w:rsidRPr="0043765D">
        <w:rPr>
          <w:rFonts w:ascii="Times New Roman" w:hAnsi="Times New Roman" w:cs="Times New Roman"/>
          <w:sz w:val="24"/>
          <w:szCs w:val="24"/>
        </w:rPr>
        <w:t>orotic</w:t>
      </w:r>
      <w:proofErr w:type="spellEnd"/>
      <w:r w:rsidRPr="0043765D">
        <w:rPr>
          <w:rFonts w:ascii="Times New Roman" w:hAnsi="Times New Roman" w:cs="Times New Roman"/>
          <w:sz w:val="24"/>
          <w:szCs w:val="24"/>
        </w:rPr>
        <w:t xml:space="preserve"> acid</w:t>
      </w:r>
      <w:r w:rsidR="001153BA" w:rsidRPr="0043765D">
        <w:rPr>
          <w:rFonts w:ascii="Times New Roman" w:hAnsi="Times New Roman" w:cs="Times New Roman"/>
          <w:sz w:val="24"/>
          <w:szCs w:val="24"/>
        </w:rPr>
        <w:t>.</w:t>
      </w:r>
    </w:p>
    <w:sectPr w:rsidR="00A61D32" w:rsidRPr="0043765D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35BCC" w14:textId="77777777" w:rsidR="005F0255" w:rsidRDefault="005F0255" w:rsidP="00E02283">
      <w:pPr>
        <w:spacing w:after="0" w:line="240" w:lineRule="auto"/>
      </w:pPr>
      <w:r>
        <w:separator/>
      </w:r>
    </w:p>
  </w:endnote>
  <w:endnote w:type="continuationSeparator" w:id="0">
    <w:p w14:paraId="08592D9F" w14:textId="77777777" w:rsidR="005F0255" w:rsidRDefault="005F0255" w:rsidP="00E02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0028D" w14:textId="2D511C81" w:rsidR="00E02283" w:rsidRPr="00E02283" w:rsidRDefault="00E02283">
    <w:pPr>
      <w:pStyle w:val="Footer"/>
      <w:rPr>
        <w:rFonts w:ascii="Times New Roman" w:hAnsi="Times New Roman" w:cs="Times New Roman"/>
        <w:b/>
        <w:bCs/>
        <w:i/>
        <w:iCs/>
        <w:sz w:val="24"/>
        <w:szCs w:val="24"/>
      </w:rPr>
    </w:pPr>
    <w:r w:rsidRPr="00E02283">
      <w:rPr>
        <w:rFonts w:ascii="Times New Roman" w:hAnsi="Times New Roman" w:cs="Times New Roman"/>
        <w:b/>
        <w:bCs/>
        <w:i/>
        <w:iCs/>
        <w:sz w:val="24"/>
        <w:szCs w:val="24"/>
      </w:rPr>
      <w:t>RAGHU COLLEGE OF PHARMACY</w:t>
    </w:r>
    <w:r w:rsidRPr="00E02283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center" w:leader="none"/>
    </w:r>
    <w:r w:rsidRPr="00E02283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right" w:leader="none"/>
    </w:r>
    <w:r w:rsidRPr="00E02283">
      <w:rPr>
        <w:rFonts w:ascii="Times New Roman" w:hAnsi="Times New Roman" w:cs="Times New Roman"/>
        <w:b/>
        <w:bCs/>
        <w:i/>
        <w:iCs/>
        <w:sz w:val="24"/>
        <w:szCs w:val="24"/>
      </w:rPr>
      <w:t>LESSON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1CDAE" w14:textId="77777777" w:rsidR="005F0255" w:rsidRDefault="005F0255" w:rsidP="00E02283">
      <w:pPr>
        <w:spacing w:after="0" w:line="240" w:lineRule="auto"/>
      </w:pPr>
      <w:r>
        <w:separator/>
      </w:r>
    </w:p>
  </w:footnote>
  <w:footnote w:type="continuationSeparator" w:id="0">
    <w:p w14:paraId="3638299A" w14:textId="77777777" w:rsidR="005F0255" w:rsidRDefault="005F0255" w:rsidP="00E02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C85F5" w14:textId="1DA8C481" w:rsidR="00E02283" w:rsidRPr="00E02283" w:rsidRDefault="00E02283">
    <w:pPr>
      <w:pStyle w:val="Header"/>
      <w:rPr>
        <w:rFonts w:ascii="Times New Roman" w:hAnsi="Times New Roman" w:cs="Times New Roman"/>
        <w:b/>
        <w:bCs/>
        <w:i/>
        <w:iCs/>
        <w:sz w:val="24"/>
        <w:szCs w:val="24"/>
      </w:rPr>
    </w:pPr>
    <w:r w:rsidRPr="00E02283">
      <w:rPr>
        <w:rFonts w:ascii="Times New Roman" w:hAnsi="Times New Roman" w:cs="Times New Roman"/>
        <w:b/>
        <w:bCs/>
        <w:i/>
        <w:iCs/>
        <w:sz w:val="24"/>
        <w:szCs w:val="24"/>
      </w:rPr>
      <w:t>BIOCHEMISTRY</w:t>
    </w:r>
    <w:r w:rsidRPr="00E02283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center" w:leader="none"/>
    </w:r>
    <w:r w:rsidRPr="00E02283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right" w:leader="none"/>
    </w:r>
    <w:r w:rsidRPr="00E02283">
      <w:rPr>
        <w:rFonts w:ascii="Times New Roman" w:hAnsi="Times New Roman" w:cs="Times New Roman"/>
        <w:b/>
        <w:bCs/>
        <w:i/>
        <w:iCs/>
        <w:sz w:val="24"/>
        <w:szCs w:val="24"/>
      </w:rPr>
      <w:t>BIOSYNTHESIS OF PYRIMIDINES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B5787"/>
    <w:multiLevelType w:val="hybridMultilevel"/>
    <w:tmpl w:val="37565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D295C"/>
    <w:multiLevelType w:val="hybridMultilevel"/>
    <w:tmpl w:val="FF2CF5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131F6"/>
    <w:multiLevelType w:val="hybridMultilevel"/>
    <w:tmpl w:val="C77094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A168DE"/>
    <w:multiLevelType w:val="hybridMultilevel"/>
    <w:tmpl w:val="CB1A5B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593407">
    <w:abstractNumId w:val="3"/>
  </w:num>
  <w:num w:numId="2" w16cid:durableId="1330867904">
    <w:abstractNumId w:val="0"/>
  </w:num>
  <w:num w:numId="3" w16cid:durableId="1890652168">
    <w:abstractNumId w:val="1"/>
  </w:num>
  <w:num w:numId="4" w16cid:durableId="21142072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A49"/>
    <w:rsid w:val="001153BA"/>
    <w:rsid w:val="0043765D"/>
    <w:rsid w:val="005F0255"/>
    <w:rsid w:val="008D03F2"/>
    <w:rsid w:val="008E0A49"/>
    <w:rsid w:val="008E7E9C"/>
    <w:rsid w:val="00A61D32"/>
    <w:rsid w:val="00D264FF"/>
    <w:rsid w:val="00D871EB"/>
    <w:rsid w:val="00DF0DAD"/>
    <w:rsid w:val="00E02283"/>
    <w:rsid w:val="00E0234C"/>
    <w:rsid w:val="00FD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ED41C"/>
  <w15:chartTrackingRefBased/>
  <w15:docId w15:val="{BE9A27F2-A24E-4EBB-935F-FC083472F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3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283"/>
  </w:style>
  <w:style w:type="paragraph" w:styleId="Footer">
    <w:name w:val="footer"/>
    <w:basedOn w:val="Normal"/>
    <w:link w:val="FooterChar"/>
    <w:uiPriority w:val="99"/>
    <w:unhideWhenUsed/>
    <w:rsid w:val="00E02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gopi v</dc:creator>
  <cp:keywords/>
  <dc:description/>
  <cp:lastModifiedBy>gopi v</cp:lastModifiedBy>
  <cp:revision>8</cp:revision>
  <dcterms:created xsi:type="dcterms:W3CDTF">2023-11-29T15:53:00Z</dcterms:created>
  <dcterms:modified xsi:type="dcterms:W3CDTF">2023-11-29T16:22:00Z</dcterms:modified>
</cp:coreProperties>
</file>