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1E5F7" w14:textId="77777777" w:rsidR="00CB06DB" w:rsidRPr="00DB570F" w:rsidRDefault="00CB06DB" w:rsidP="00CB06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9F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–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102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37DD179D" w14:textId="77777777" w:rsidR="00DB570F" w:rsidRDefault="00DB570F"/>
    <w:p w14:paraId="1E0EE85A" w14:textId="491AC9BD" w:rsidR="00DB570F" w:rsidRPr="00DA1A81" w:rsidRDefault="00DA1A81" w:rsidP="00CB06DB">
      <w:pPr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6DB">
        <w:rPr>
          <w:rFonts w:ascii="Times New Roman" w:hAnsi="Times New Roman" w:cs="Times New Roman"/>
          <w:sz w:val="24"/>
          <w:szCs w:val="24"/>
        </w:rPr>
        <w:t>III PRECIPITATION TITRATION,COMPLEXOMETRIC TITRATION,GRAVIMETRY AND DIAZOTISATION TITRATION</w:t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3CF4758D" w14:textId="4DFDD482"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5E2539">
        <w:rPr>
          <w:rFonts w:ascii="Times New Roman" w:hAnsi="Times New Roman" w:cs="Times New Roman"/>
          <w:sz w:val="24"/>
          <w:szCs w:val="24"/>
        </w:rPr>
        <w:t>8</w:t>
      </w:r>
    </w:p>
    <w:p w14:paraId="094E6630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2DAAFD5D" w14:textId="4A919A93" w:rsidR="00D43D7E" w:rsidRDefault="00DA1A81" w:rsidP="00CB06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CB06D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PURITY OF PRECIPITATION </w:t>
      </w:r>
    </w:p>
    <w:p w14:paraId="511C1B39" w14:textId="77777777" w:rsidR="005E2539" w:rsidRPr="000C07F7" w:rsidRDefault="005E2539" w:rsidP="005E2539">
      <w:pPr>
        <w:pStyle w:val="BodyText"/>
        <w:spacing w:before="120"/>
        <w:ind w:left="220" w:right="320"/>
        <w:rPr>
          <w:color w:val="1F2021"/>
          <w:sz w:val="28"/>
          <w:szCs w:val="28"/>
        </w:rPr>
      </w:pPr>
      <w:r>
        <w:rPr>
          <w:b/>
          <w:color w:val="1F2021"/>
          <w:sz w:val="28"/>
          <w:szCs w:val="28"/>
        </w:rPr>
        <w:t>C</w:t>
      </w:r>
      <w:r w:rsidRPr="000C07F7">
        <w:rPr>
          <w:b/>
          <w:color w:val="1F2021"/>
          <w:sz w:val="28"/>
          <w:szCs w:val="28"/>
        </w:rPr>
        <w:t>o-precipitation</w:t>
      </w:r>
      <w:r w:rsidRPr="000C07F7">
        <w:rPr>
          <w:color w:val="1F2021"/>
          <w:sz w:val="28"/>
          <w:szCs w:val="28"/>
        </w:rPr>
        <w:t>:</w:t>
      </w:r>
    </w:p>
    <w:p w14:paraId="3E4D4587" w14:textId="77777777" w:rsidR="005E2539" w:rsidRPr="000C07F7" w:rsidRDefault="005E2539" w:rsidP="005E2539">
      <w:pPr>
        <w:pStyle w:val="BodyText"/>
        <w:spacing w:before="120" w:line="360" w:lineRule="auto"/>
        <w:ind w:left="220" w:right="320"/>
      </w:pPr>
      <w:r>
        <w:rPr>
          <w:color w:val="1F2021"/>
        </w:rPr>
        <w:t xml:space="preserve">is the carrying down by </w:t>
      </w:r>
      <w:r w:rsidRPr="000C07F7">
        <w:rPr>
          <w:color w:val="1F2021"/>
        </w:rPr>
        <w:t xml:space="preserve">a </w:t>
      </w:r>
      <w:hyperlink r:id="rId6">
        <w:r w:rsidRPr="000C07F7">
          <w:t xml:space="preserve">precipitate </w:t>
        </w:r>
      </w:hyperlink>
      <w:r w:rsidRPr="000C07F7">
        <w:t>of substances</w:t>
      </w:r>
      <w:r w:rsidRPr="000C07F7">
        <w:rPr>
          <w:spacing w:val="1"/>
        </w:rPr>
        <w:t xml:space="preserve"> </w:t>
      </w:r>
      <w:r w:rsidRPr="000C07F7">
        <w:t>normally</w:t>
      </w:r>
      <w:r w:rsidRPr="000C07F7">
        <w:rPr>
          <w:spacing w:val="-2"/>
        </w:rPr>
        <w:t xml:space="preserve"> </w:t>
      </w:r>
      <w:r w:rsidRPr="000C07F7">
        <w:t>soluble</w:t>
      </w:r>
      <w:r w:rsidRPr="000C07F7">
        <w:rPr>
          <w:spacing w:val="-2"/>
        </w:rPr>
        <w:t xml:space="preserve"> </w:t>
      </w:r>
      <w:r w:rsidRPr="000C07F7">
        <w:t>under</w:t>
      </w:r>
      <w:r w:rsidRPr="000C07F7">
        <w:rPr>
          <w:spacing w:val="-3"/>
        </w:rPr>
        <w:t xml:space="preserve"> </w:t>
      </w:r>
      <w:r w:rsidRPr="000C07F7">
        <w:t>the conditions</w:t>
      </w:r>
      <w:r w:rsidRPr="000C07F7">
        <w:rPr>
          <w:spacing w:val="-5"/>
        </w:rPr>
        <w:t xml:space="preserve"> </w:t>
      </w:r>
      <w:r w:rsidRPr="000C07F7">
        <w:t>employed.</w:t>
      </w:r>
    </w:p>
    <w:p w14:paraId="3571347E" w14:textId="77777777" w:rsidR="005E2539" w:rsidRPr="000C07F7" w:rsidRDefault="005E2539" w:rsidP="005E2539">
      <w:pPr>
        <w:pStyle w:val="BodyText"/>
        <w:spacing w:before="120" w:line="360" w:lineRule="auto"/>
        <w:ind w:left="220" w:right="355"/>
      </w:pPr>
      <w:r w:rsidRPr="000C07F7">
        <w:rPr>
          <w:color w:val="1F2021"/>
        </w:rPr>
        <w:t>Coprecipitation</w:t>
      </w:r>
      <w:r w:rsidRPr="000C07F7">
        <w:rPr>
          <w:color w:val="1F2021"/>
          <w:spacing w:val="-2"/>
        </w:rPr>
        <w:t xml:space="preserve"> </w:t>
      </w:r>
      <w:r w:rsidRPr="000C07F7">
        <w:rPr>
          <w:color w:val="1F2021"/>
        </w:rPr>
        <w:t>is</w:t>
      </w:r>
      <w:r w:rsidRPr="000C07F7">
        <w:rPr>
          <w:color w:val="1F2021"/>
          <w:spacing w:val="-2"/>
        </w:rPr>
        <w:t xml:space="preserve"> </w:t>
      </w:r>
      <w:r w:rsidRPr="000C07F7">
        <w:rPr>
          <w:color w:val="1F2021"/>
        </w:rPr>
        <w:t>an</w:t>
      </w:r>
      <w:r w:rsidRPr="000C07F7">
        <w:rPr>
          <w:color w:val="1F2021"/>
          <w:spacing w:val="-2"/>
        </w:rPr>
        <w:t xml:space="preserve"> </w:t>
      </w:r>
      <w:r w:rsidRPr="000C07F7">
        <w:rPr>
          <w:color w:val="1F2021"/>
        </w:rPr>
        <w:t>important</w:t>
      </w:r>
      <w:r w:rsidRPr="000C07F7">
        <w:rPr>
          <w:color w:val="1F2021"/>
          <w:spacing w:val="-2"/>
        </w:rPr>
        <w:t xml:space="preserve"> </w:t>
      </w:r>
      <w:r w:rsidRPr="000C07F7">
        <w:rPr>
          <w:color w:val="1F2021"/>
        </w:rPr>
        <w:t>issue</w:t>
      </w:r>
      <w:r w:rsidRPr="000C07F7">
        <w:rPr>
          <w:color w:val="1F2021"/>
          <w:spacing w:val="-2"/>
        </w:rPr>
        <w:t xml:space="preserve"> </w:t>
      </w:r>
      <w:r w:rsidRPr="000C07F7">
        <w:rPr>
          <w:color w:val="1F2021"/>
        </w:rPr>
        <w:t>in</w:t>
      </w:r>
      <w:r w:rsidRPr="000C07F7">
        <w:rPr>
          <w:color w:val="1F2021"/>
          <w:spacing w:val="-2"/>
        </w:rPr>
        <w:t xml:space="preserve"> </w:t>
      </w:r>
      <w:hyperlink r:id="rId7">
        <w:r w:rsidRPr="000C07F7">
          <w:t>chemical</w:t>
        </w:r>
        <w:r w:rsidRPr="000C07F7">
          <w:rPr>
            <w:spacing w:val="-2"/>
          </w:rPr>
          <w:t xml:space="preserve"> </w:t>
        </w:r>
        <w:r w:rsidRPr="000C07F7">
          <w:t>analysis</w:t>
        </w:r>
      </w:hyperlink>
      <w:r w:rsidRPr="000C07F7">
        <w:t>,</w:t>
      </w:r>
      <w:r w:rsidRPr="000C07F7">
        <w:rPr>
          <w:spacing w:val="-1"/>
        </w:rPr>
        <w:t xml:space="preserve"> </w:t>
      </w:r>
      <w:r w:rsidRPr="000C07F7">
        <w:t>where</w:t>
      </w:r>
      <w:r w:rsidRPr="000C07F7">
        <w:rPr>
          <w:spacing w:val="1"/>
        </w:rPr>
        <w:t xml:space="preserve"> </w:t>
      </w:r>
      <w:r w:rsidRPr="000C07F7">
        <w:t>it</w:t>
      </w:r>
      <w:r w:rsidRPr="000C07F7">
        <w:rPr>
          <w:spacing w:val="-3"/>
        </w:rPr>
        <w:t xml:space="preserve"> </w:t>
      </w:r>
      <w:r w:rsidRPr="000C07F7">
        <w:t>is</w:t>
      </w:r>
      <w:r w:rsidRPr="000C07F7">
        <w:rPr>
          <w:spacing w:val="-2"/>
        </w:rPr>
        <w:t xml:space="preserve"> </w:t>
      </w:r>
      <w:r w:rsidRPr="000C07F7">
        <w:t>often undesirable,</w:t>
      </w:r>
      <w:r w:rsidRPr="000C07F7">
        <w:rPr>
          <w:spacing w:val="-1"/>
        </w:rPr>
        <w:t xml:space="preserve"> </w:t>
      </w:r>
      <w:r w:rsidRPr="000C07F7">
        <w:t>but</w:t>
      </w:r>
      <w:r w:rsidRPr="000C07F7">
        <w:rPr>
          <w:spacing w:val="-2"/>
        </w:rPr>
        <w:t xml:space="preserve"> </w:t>
      </w:r>
      <w:r w:rsidRPr="000C07F7">
        <w:t>in</w:t>
      </w:r>
      <w:r w:rsidRPr="000C07F7">
        <w:rPr>
          <w:spacing w:val="-57"/>
        </w:rPr>
        <w:t xml:space="preserve"> </w:t>
      </w:r>
      <w:r w:rsidRPr="000C07F7">
        <w:t xml:space="preserve">some </w:t>
      </w:r>
      <w:proofErr w:type="gramStart"/>
      <w:r w:rsidRPr="000C07F7">
        <w:t>cases</w:t>
      </w:r>
      <w:proofErr w:type="gramEnd"/>
      <w:r w:rsidRPr="000C07F7">
        <w:t xml:space="preserve"> it can be exploited. </w:t>
      </w:r>
    </w:p>
    <w:p w14:paraId="52F7A78E" w14:textId="77777777" w:rsidR="005E2539" w:rsidRPr="000C07F7" w:rsidRDefault="005E2539" w:rsidP="005E2539">
      <w:pPr>
        <w:pStyle w:val="BodyText"/>
        <w:spacing w:before="120" w:line="360" w:lineRule="auto"/>
        <w:ind w:left="220" w:right="355"/>
        <w:rPr>
          <w:color w:val="1F2021"/>
        </w:rPr>
      </w:pPr>
      <w:r w:rsidRPr="000C07F7">
        <w:t xml:space="preserve">In </w:t>
      </w:r>
      <w:hyperlink r:id="rId8">
        <w:r w:rsidRPr="000C07F7">
          <w:t>gravimetric analysis</w:t>
        </w:r>
      </w:hyperlink>
      <w:r w:rsidRPr="000C07F7">
        <w:t>, which consists on precipitating the</w:t>
      </w:r>
      <w:r w:rsidRPr="000C07F7">
        <w:rPr>
          <w:spacing w:val="1"/>
        </w:rPr>
        <w:t xml:space="preserve"> </w:t>
      </w:r>
      <w:hyperlink r:id="rId9">
        <w:r w:rsidRPr="000C07F7">
          <w:t xml:space="preserve">analyte </w:t>
        </w:r>
      </w:hyperlink>
      <w:r w:rsidRPr="000C07F7">
        <w:t>and measuring its mass to determine it</w:t>
      </w:r>
      <w:r w:rsidRPr="000C07F7">
        <w:rPr>
          <w:color w:val="1F2021"/>
        </w:rPr>
        <w:t>s concentration or purity, coprecipitation is a</w:t>
      </w:r>
      <w:r w:rsidRPr="000C07F7">
        <w:rPr>
          <w:color w:val="1F2021"/>
          <w:spacing w:val="1"/>
        </w:rPr>
        <w:t xml:space="preserve"> </w:t>
      </w:r>
      <w:r w:rsidRPr="000C07F7">
        <w:rPr>
          <w:color w:val="1F2021"/>
        </w:rPr>
        <w:t>problem because undesired impurities often coprecipitate with the analyte, resulting in excess</w:t>
      </w:r>
      <w:r w:rsidRPr="000C07F7">
        <w:rPr>
          <w:color w:val="1F2021"/>
          <w:spacing w:val="1"/>
        </w:rPr>
        <w:t xml:space="preserve"> </w:t>
      </w:r>
      <w:r w:rsidRPr="000C07F7">
        <w:rPr>
          <w:color w:val="1F2021"/>
        </w:rPr>
        <w:t xml:space="preserve">mass. </w:t>
      </w:r>
    </w:p>
    <w:p w14:paraId="01E3CE01" w14:textId="77777777" w:rsidR="005E2539" w:rsidRPr="000C07F7" w:rsidRDefault="005E2539" w:rsidP="005E2539">
      <w:pPr>
        <w:pStyle w:val="BodyText"/>
        <w:spacing w:before="120" w:line="360" w:lineRule="auto"/>
        <w:ind w:left="220" w:right="355"/>
      </w:pPr>
      <w:r w:rsidRPr="000C07F7">
        <w:rPr>
          <w:color w:val="1F2021"/>
        </w:rPr>
        <w:t>This problem can often be mitigated by "digestion" (waiting for the precipitate to</w:t>
      </w:r>
      <w:r w:rsidRPr="000C07F7">
        <w:rPr>
          <w:color w:val="1F2021"/>
          <w:spacing w:val="1"/>
        </w:rPr>
        <w:t xml:space="preserve"> </w:t>
      </w:r>
      <w:r w:rsidRPr="000C07F7">
        <w:rPr>
          <w:color w:val="1F2021"/>
        </w:rPr>
        <w:t>equilibrate and form larger, purer particles) or by redissolving the sample and precipitating it</w:t>
      </w:r>
      <w:r w:rsidRPr="000C07F7">
        <w:rPr>
          <w:color w:val="1F2021"/>
          <w:spacing w:val="1"/>
        </w:rPr>
        <w:t xml:space="preserve"> </w:t>
      </w:r>
      <w:r w:rsidRPr="000C07F7">
        <w:rPr>
          <w:color w:val="1F2021"/>
        </w:rPr>
        <w:t>again.</w:t>
      </w:r>
    </w:p>
    <w:p w14:paraId="1B62A08E" w14:textId="77777777" w:rsidR="005E2539" w:rsidRPr="000C07F7" w:rsidRDefault="005E2539" w:rsidP="005E2539">
      <w:pPr>
        <w:pStyle w:val="BodyText"/>
        <w:spacing w:before="118" w:line="360" w:lineRule="auto"/>
        <w:ind w:left="220"/>
      </w:pPr>
      <w:r w:rsidRPr="000C07F7">
        <w:t>There are three main mechanisms of coprecipitation: inclusion, occlusion, and adsorption. An</w:t>
      </w:r>
      <w:r w:rsidRPr="000C07F7">
        <w:rPr>
          <w:spacing w:val="1"/>
        </w:rPr>
        <w:t xml:space="preserve"> </w:t>
      </w:r>
      <w:r w:rsidRPr="000C07F7">
        <w:rPr>
          <w:b/>
        </w:rPr>
        <w:t xml:space="preserve">inclusion </w:t>
      </w:r>
      <w:r w:rsidRPr="000C07F7">
        <w:t xml:space="preserve">occurs when the impurity occupies a lattice site in the </w:t>
      </w:r>
      <w:hyperlink r:id="rId10">
        <w:r w:rsidRPr="000C07F7">
          <w:t xml:space="preserve">crystal structure </w:t>
        </w:r>
      </w:hyperlink>
      <w:r w:rsidRPr="000C07F7">
        <w:t>of the carrier,</w:t>
      </w:r>
      <w:r w:rsidRPr="000C07F7">
        <w:rPr>
          <w:spacing w:val="1"/>
        </w:rPr>
        <w:t xml:space="preserve"> </w:t>
      </w:r>
      <w:r w:rsidRPr="000C07F7">
        <w:t xml:space="preserve">resulting in a </w:t>
      </w:r>
      <w:hyperlink r:id="rId11">
        <w:r w:rsidRPr="000C07F7">
          <w:t>crystallographic defect</w:t>
        </w:r>
      </w:hyperlink>
      <w:r w:rsidRPr="000C07F7">
        <w:t xml:space="preserve">; this can happen when the </w:t>
      </w:r>
      <w:hyperlink r:id="rId12">
        <w:r w:rsidRPr="000C07F7">
          <w:t xml:space="preserve">ionic radius </w:t>
        </w:r>
      </w:hyperlink>
      <w:r w:rsidRPr="000C07F7">
        <w:t>and charge of the</w:t>
      </w:r>
      <w:r w:rsidRPr="000C07F7">
        <w:rPr>
          <w:spacing w:val="1"/>
        </w:rPr>
        <w:t xml:space="preserve"> </w:t>
      </w:r>
      <w:r w:rsidRPr="000C07F7">
        <w:t xml:space="preserve">impurity are similar to those of the carrier. </w:t>
      </w:r>
    </w:p>
    <w:p w14:paraId="31B6372A" w14:textId="77777777" w:rsidR="005E2539" w:rsidRPr="000C07F7" w:rsidRDefault="005E2539" w:rsidP="005E2539">
      <w:pPr>
        <w:pStyle w:val="BodyText"/>
        <w:spacing w:before="118" w:line="360" w:lineRule="auto"/>
        <w:ind w:left="220"/>
        <w:rPr>
          <w:spacing w:val="-1"/>
        </w:rPr>
      </w:pPr>
      <w:r w:rsidRPr="000C07F7">
        <w:t xml:space="preserve">An </w:t>
      </w:r>
      <w:r w:rsidRPr="000C07F7">
        <w:rPr>
          <w:b/>
        </w:rPr>
        <w:t xml:space="preserve">adsorbate </w:t>
      </w:r>
      <w:r w:rsidRPr="000C07F7">
        <w:t>is an impurity that is weakly bound</w:t>
      </w:r>
      <w:r w:rsidRPr="000C07F7">
        <w:rPr>
          <w:spacing w:val="1"/>
        </w:rPr>
        <w:t xml:space="preserve"> </w:t>
      </w:r>
      <w:r w:rsidRPr="000C07F7">
        <w:t>(</w:t>
      </w:r>
      <w:hyperlink r:id="rId13">
        <w:r w:rsidRPr="000C07F7">
          <w:t>adsorbed</w:t>
        </w:r>
      </w:hyperlink>
      <w:r w:rsidRPr="000C07F7">
        <w:t>)</w:t>
      </w:r>
      <w:r w:rsidRPr="000C07F7">
        <w:rPr>
          <w:spacing w:val="-3"/>
        </w:rPr>
        <w:t xml:space="preserve"> </w:t>
      </w:r>
      <w:r w:rsidRPr="000C07F7">
        <w:t>to</w:t>
      </w:r>
      <w:r w:rsidRPr="000C07F7">
        <w:rPr>
          <w:spacing w:val="-2"/>
        </w:rPr>
        <w:t xml:space="preserve"> </w:t>
      </w:r>
      <w:r w:rsidRPr="000C07F7">
        <w:t>the</w:t>
      </w:r>
      <w:r w:rsidRPr="000C07F7">
        <w:rPr>
          <w:spacing w:val="-2"/>
        </w:rPr>
        <w:t xml:space="preserve"> </w:t>
      </w:r>
      <w:r w:rsidRPr="000C07F7">
        <w:t>surface</w:t>
      </w:r>
      <w:r w:rsidRPr="000C07F7">
        <w:rPr>
          <w:spacing w:val="-1"/>
        </w:rPr>
        <w:t xml:space="preserve"> </w:t>
      </w:r>
      <w:r w:rsidRPr="000C07F7">
        <w:t>of</w:t>
      </w:r>
      <w:r w:rsidRPr="000C07F7">
        <w:rPr>
          <w:spacing w:val="-2"/>
        </w:rPr>
        <w:t xml:space="preserve"> </w:t>
      </w:r>
      <w:r w:rsidRPr="000C07F7">
        <w:t>the</w:t>
      </w:r>
      <w:r w:rsidRPr="000C07F7">
        <w:rPr>
          <w:spacing w:val="-1"/>
        </w:rPr>
        <w:t xml:space="preserve"> </w:t>
      </w:r>
      <w:r w:rsidRPr="000C07F7">
        <w:t>precipitate.</w:t>
      </w:r>
      <w:r w:rsidRPr="000C07F7">
        <w:rPr>
          <w:spacing w:val="-1"/>
        </w:rPr>
        <w:t xml:space="preserve"> </w:t>
      </w:r>
    </w:p>
    <w:p w14:paraId="366F0CFE" w14:textId="77777777" w:rsidR="005E2539" w:rsidRPr="000C07F7" w:rsidRDefault="005E2539" w:rsidP="005E2539">
      <w:pPr>
        <w:pStyle w:val="BodyText"/>
        <w:spacing w:before="118" w:line="360" w:lineRule="auto"/>
        <w:ind w:left="220"/>
      </w:pPr>
      <w:r w:rsidRPr="000C07F7">
        <w:t xml:space="preserve">An </w:t>
      </w:r>
      <w:r w:rsidRPr="000C07F7">
        <w:rPr>
          <w:b/>
        </w:rPr>
        <w:t>occlusion</w:t>
      </w:r>
      <w:r w:rsidRPr="000C07F7">
        <w:rPr>
          <w:b/>
          <w:spacing w:val="-3"/>
        </w:rPr>
        <w:t xml:space="preserve"> </w:t>
      </w:r>
      <w:r w:rsidRPr="000C07F7">
        <w:t>occurs</w:t>
      </w:r>
      <w:r w:rsidRPr="000C07F7">
        <w:rPr>
          <w:spacing w:val="-2"/>
        </w:rPr>
        <w:t xml:space="preserve"> </w:t>
      </w:r>
      <w:r w:rsidRPr="000C07F7">
        <w:t>when</w:t>
      </w:r>
      <w:r w:rsidRPr="000C07F7">
        <w:rPr>
          <w:spacing w:val="1"/>
        </w:rPr>
        <w:t xml:space="preserve"> </w:t>
      </w:r>
      <w:r w:rsidRPr="000C07F7">
        <w:t>an</w:t>
      </w:r>
      <w:r w:rsidRPr="000C07F7">
        <w:rPr>
          <w:spacing w:val="-2"/>
        </w:rPr>
        <w:t xml:space="preserve"> </w:t>
      </w:r>
      <w:r w:rsidRPr="000C07F7">
        <w:t>adsorbed</w:t>
      </w:r>
      <w:r w:rsidRPr="000C07F7">
        <w:rPr>
          <w:spacing w:val="1"/>
        </w:rPr>
        <w:t xml:space="preserve"> </w:t>
      </w:r>
      <w:r w:rsidRPr="000C07F7">
        <w:t>impurity</w:t>
      </w:r>
      <w:r w:rsidRPr="000C07F7">
        <w:rPr>
          <w:spacing w:val="-5"/>
        </w:rPr>
        <w:t xml:space="preserve"> </w:t>
      </w:r>
      <w:r w:rsidRPr="000C07F7">
        <w:t>gets</w:t>
      </w:r>
      <w:r w:rsidRPr="000C07F7">
        <w:rPr>
          <w:spacing w:val="-57"/>
        </w:rPr>
        <w:t xml:space="preserve"> </w:t>
      </w:r>
      <w:r w:rsidRPr="000C07F7">
        <w:t>physically</w:t>
      </w:r>
      <w:r w:rsidRPr="000C07F7">
        <w:rPr>
          <w:spacing w:val="-1"/>
        </w:rPr>
        <w:t xml:space="preserve"> </w:t>
      </w:r>
      <w:r w:rsidRPr="000C07F7">
        <w:t>trapped</w:t>
      </w:r>
      <w:r w:rsidRPr="000C07F7">
        <w:rPr>
          <w:spacing w:val="2"/>
        </w:rPr>
        <w:t xml:space="preserve"> </w:t>
      </w:r>
      <w:r w:rsidRPr="000C07F7">
        <w:t>inside</w:t>
      </w:r>
      <w:r w:rsidRPr="000C07F7">
        <w:rPr>
          <w:spacing w:val="-1"/>
        </w:rPr>
        <w:t xml:space="preserve"> </w:t>
      </w:r>
      <w:r w:rsidRPr="000C07F7">
        <w:t>the</w:t>
      </w:r>
      <w:r w:rsidRPr="000C07F7">
        <w:rPr>
          <w:spacing w:val="-1"/>
        </w:rPr>
        <w:t xml:space="preserve"> </w:t>
      </w:r>
      <w:r w:rsidRPr="000C07F7">
        <w:t>crystal as</w:t>
      </w:r>
      <w:r w:rsidRPr="000C07F7">
        <w:rPr>
          <w:spacing w:val="2"/>
        </w:rPr>
        <w:t xml:space="preserve"> </w:t>
      </w:r>
      <w:r w:rsidRPr="000C07F7">
        <w:t>it</w:t>
      </w:r>
      <w:r w:rsidRPr="000C07F7">
        <w:rPr>
          <w:spacing w:val="-3"/>
        </w:rPr>
        <w:t xml:space="preserve"> </w:t>
      </w:r>
      <w:r w:rsidRPr="000C07F7">
        <w:t>grows.</w:t>
      </w:r>
    </w:p>
    <w:p w14:paraId="5D5231BB" w14:textId="77777777" w:rsidR="005E2539" w:rsidRPr="000C07F7" w:rsidRDefault="005E2539" w:rsidP="005E2539">
      <w:pPr>
        <w:pStyle w:val="Heading1"/>
        <w:spacing w:before="120" w:line="360" w:lineRule="auto"/>
      </w:pPr>
      <w:r w:rsidRPr="000C07F7">
        <w:t>Post-precipitation:</w:t>
      </w:r>
    </w:p>
    <w:p w14:paraId="354ABB62" w14:textId="77777777" w:rsidR="005E2539" w:rsidRPr="000C07F7" w:rsidRDefault="005E2539" w:rsidP="005E2539">
      <w:pPr>
        <w:pStyle w:val="BodyText"/>
        <w:spacing w:before="1" w:line="360" w:lineRule="auto"/>
        <w:ind w:left="220" w:right="483"/>
        <w:rPr>
          <w:spacing w:val="2"/>
        </w:rPr>
      </w:pPr>
      <w:r w:rsidRPr="000C07F7">
        <w:t xml:space="preserve">After conversion of analyte into precipitate during digestion period, whatever the </w:t>
      </w:r>
      <w:r w:rsidRPr="000C07F7">
        <w:lastRenderedPageBreak/>
        <w:t>impurities or</w:t>
      </w:r>
      <w:r w:rsidRPr="000C07F7">
        <w:rPr>
          <w:spacing w:val="1"/>
        </w:rPr>
        <w:t xml:space="preserve"> </w:t>
      </w:r>
      <w:r w:rsidRPr="000C07F7">
        <w:t>soluble substances present in mother liquid form a precipitate layer over the primary precipitate</w:t>
      </w:r>
      <w:r w:rsidRPr="000C07F7">
        <w:rPr>
          <w:spacing w:val="-58"/>
        </w:rPr>
        <w:t xml:space="preserve"> </w:t>
      </w:r>
      <w:r w:rsidRPr="000C07F7">
        <w:t>of</w:t>
      </w:r>
      <w:r w:rsidRPr="000C07F7">
        <w:rPr>
          <w:spacing w:val="-2"/>
        </w:rPr>
        <w:t xml:space="preserve"> </w:t>
      </w:r>
      <w:r w:rsidRPr="000C07F7">
        <w:t>analyte.</w:t>
      </w:r>
      <w:r w:rsidRPr="000C07F7">
        <w:rPr>
          <w:spacing w:val="2"/>
        </w:rPr>
        <w:t xml:space="preserve"> </w:t>
      </w:r>
    </w:p>
    <w:p w14:paraId="0F038063" w14:textId="77777777" w:rsidR="005E2539" w:rsidRPr="000C07F7" w:rsidRDefault="005E2539" w:rsidP="005E2539">
      <w:pPr>
        <w:pStyle w:val="BodyText"/>
        <w:spacing w:before="1" w:line="360" w:lineRule="auto"/>
        <w:ind w:left="220" w:right="483"/>
      </w:pPr>
      <w:r w:rsidRPr="000C07F7">
        <w:t>This phenomenon is known</w:t>
      </w:r>
      <w:r w:rsidRPr="000C07F7">
        <w:rPr>
          <w:spacing w:val="-1"/>
        </w:rPr>
        <w:t xml:space="preserve"> </w:t>
      </w:r>
      <w:r w:rsidRPr="000C07F7">
        <w:t>as post-precipitation.</w:t>
      </w:r>
    </w:p>
    <w:p w14:paraId="14610B04" w14:textId="77777777" w:rsidR="005E2539" w:rsidRPr="000C07F7" w:rsidRDefault="005E2539" w:rsidP="005E2539">
      <w:pPr>
        <w:pStyle w:val="BodyText"/>
        <w:spacing w:before="1" w:line="360" w:lineRule="auto"/>
        <w:ind w:left="220" w:right="483"/>
      </w:pPr>
    </w:p>
    <w:p w14:paraId="69F06301" w14:textId="77777777" w:rsidR="005E2539" w:rsidRPr="000C07F7" w:rsidRDefault="005E2539" w:rsidP="005E2539">
      <w:pPr>
        <w:tabs>
          <w:tab w:val="left" w:pos="984"/>
        </w:tabs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07F7">
        <w:rPr>
          <w:rFonts w:ascii="Times New Roman" w:hAnsi="Times New Roman" w:cs="Times New Roman"/>
          <w:sz w:val="24"/>
          <w:szCs w:val="24"/>
        </w:rPr>
        <w:t>Ex: In the determination of calcium, we get calcium oxalate precipitate. Besides this magnesium</w:t>
      </w:r>
      <w:r w:rsidRPr="000C07F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C07F7">
        <w:rPr>
          <w:rFonts w:ascii="Times New Roman" w:hAnsi="Times New Roman" w:cs="Times New Roman"/>
          <w:sz w:val="24"/>
          <w:szCs w:val="24"/>
        </w:rPr>
        <w:t>is also present in the form of impurity and convert into magnesium oxalate precipitate over the</w:t>
      </w:r>
      <w:r w:rsidRPr="000C07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07F7">
        <w:rPr>
          <w:rFonts w:ascii="Times New Roman" w:hAnsi="Times New Roman" w:cs="Times New Roman"/>
          <w:sz w:val="24"/>
          <w:szCs w:val="24"/>
        </w:rPr>
        <w:t>layer of</w:t>
      </w:r>
      <w:r w:rsidRPr="000C07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C07F7">
        <w:rPr>
          <w:rFonts w:ascii="Times New Roman" w:hAnsi="Times New Roman" w:cs="Times New Roman"/>
          <w:sz w:val="24"/>
          <w:szCs w:val="24"/>
        </w:rPr>
        <w:t>calcium</w:t>
      </w:r>
      <w:r w:rsidRPr="000C07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C07F7">
        <w:rPr>
          <w:rFonts w:ascii="Times New Roman" w:hAnsi="Times New Roman" w:cs="Times New Roman"/>
          <w:sz w:val="24"/>
          <w:szCs w:val="24"/>
        </w:rPr>
        <w:t>oxalate</w:t>
      </w:r>
      <w:r w:rsidRPr="000C07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C07F7">
        <w:rPr>
          <w:rFonts w:ascii="Times New Roman" w:hAnsi="Times New Roman" w:cs="Times New Roman"/>
          <w:sz w:val="24"/>
          <w:szCs w:val="24"/>
        </w:rPr>
        <w:t>primary</w:t>
      </w:r>
      <w:r w:rsidRPr="000C07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07F7">
        <w:rPr>
          <w:rFonts w:ascii="Times New Roman" w:hAnsi="Times New Roman" w:cs="Times New Roman"/>
          <w:sz w:val="24"/>
          <w:szCs w:val="24"/>
        </w:rPr>
        <w:t>precipitate</w:t>
      </w:r>
      <w:r w:rsidRPr="000C07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07F7">
        <w:rPr>
          <w:rFonts w:ascii="Times New Roman" w:hAnsi="Times New Roman" w:cs="Times New Roman"/>
          <w:sz w:val="24"/>
          <w:szCs w:val="24"/>
        </w:rPr>
        <w:t>layer.</w:t>
      </w:r>
    </w:p>
    <w:p w14:paraId="0E3EE9BE" w14:textId="77777777" w:rsidR="005E2539" w:rsidRPr="00AF052D" w:rsidRDefault="005E2539" w:rsidP="005E2539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13C6ACB5" w14:textId="77777777" w:rsidR="00D43D7E" w:rsidRP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47DC6003" w14:textId="77777777"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3ED21D69" w14:textId="7C41D9CA" w:rsidR="008712B7" w:rsidRDefault="008712B7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Very </w:t>
      </w:r>
      <w:r>
        <w:rPr>
          <w:rFonts w:ascii="Times New Roman" w:hAnsi="Times New Roman" w:cs="Times New Roman"/>
          <w:b/>
          <w:bCs/>
          <w:sz w:val="24"/>
          <w:szCs w:val="24"/>
        </w:rPr>
        <w:t>Short Answer Questions:</w:t>
      </w:r>
    </w:p>
    <w:p w14:paraId="45571AC6" w14:textId="3CAB744C" w:rsidR="008712B7" w:rsidRDefault="008712B7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1.Define occlusion and inclusion</w:t>
      </w:r>
    </w:p>
    <w:p w14:paraId="54623947" w14:textId="2984A2A3" w:rsidR="008712B7" w:rsidRDefault="008712B7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Write a short note on post precipitation give examples</w:t>
      </w:r>
    </w:p>
    <w:p w14:paraId="5F0CCADC" w14:textId="77777777" w:rsidR="008712B7" w:rsidRDefault="008712B7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34F82B" w14:textId="0EF1CA70" w:rsidR="008712B7" w:rsidRDefault="008712B7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Short Answer Questions:</w:t>
      </w:r>
    </w:p>
    <w:p w14:paraId="7B3B1010" w14:textId="0A10A8FF" w:rsidR="008712B7" w:rsidRDefault="008712B7" w:rsidP="00D43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1.Explain detail about purities of precipitation.</w:t>
      </w:r>
    </w:p>
    <w:p w14:paraId="29EEF8B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FC80D3F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8B10D64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B5B978F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3D227D0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04E086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CA4B626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5ECB721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53A67B9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CA9EBE9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DCC4354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303FC6C2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9B8C0C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sectPr w:rsidR="00C30118" w:rsidSect="0050689C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6370C" w14:textId="77777777" w:rsidR="009F106E" w:rsidRDefault="009F106E" w:rsidP="00DB570F">
      <w:pPr>
        <w:spacing w:after="0" w:line="240" w:lineRule="auto"/>
      </w:pPr>
      <w:r>
        <w:separator/>
      </w:r>
    </w:p>
  </w:endnote>
  <w:endnote w:type="continuationSeparator" w:id="0">
    <w:p w14:paraId="6C226847" w14:textId="77777777" w:rsidR="009F106E" w:rsidRDefault="009F106E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20302" w14:textId="77777777" w:rsidR="0050689C" w:rsidRDefault="0050689C">
    <w:pPr>
      <w:pStyle w:val="Footer"/>
    </w:pPr>
  </w:p>
  <w:p w14:paraId="4E8A59F6" w14:textId="77777777" w:rsidR="0050689C" w:rsidRDefault="0050689C">
    <w:pPr>
      <w:pStyle w:val="Footer"/>
    </w:pPr>
  </w:p>
  <w:p w14:paraId="2CAA247C" w14:textId="77777777" w:rsidR="0050689C" w:rsidRDefault="0050689C">
    <w:pPr>
      <w:pStyle w:val="Footer"/>
    </w:pPr>
  </w:p>
  <w:p w14:paraId="16467507" w14:textId="77777777" w:rsidR="00F0040D" w:rsidRDefault="00F0040D">
    <w:pPr>
      <w:pStyle w:val="Footer"/>
      <w:rPr>
        <w:sz w:val="16"/>
      </w:rPr>
    </w:pPr>
  </w:p>
  <w:p w14:paraId="28044810" w14:textId="77777777" w:rsidR="00F0040D" w:rsidRDefault="00F0040D">
    <w:pPr>
      <w:pStyle w:val="Footer"/>
      <w:rPr>
        <w:sz w:val="16"/>
      </w:rPr>
    </w:pPr>
  </w:p>
  <w:p w14:paraId="474D6255" w14:textId="36EEE321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7061F0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7061F0">
      <w:rPr>
        <w:rFonts w:ascii="Times New Roman" w:hAnsi="Times New Roman" w:cs="Times New Roman"/>
        <w:sz w:val="16"/>
      </w:rPr>
      <w:t>1</w:t>
    </w:r>
    <w:proofErr w:type="gramStart"/>
    <w:r w:rsidR="007061F0" w:rsidRPr="007061F0">
      <w:rPr>
        <w:rFonts w:ascii="Times New Roman" w:hAnsi="Times New Roman" w:cs="Times New Roman"/>
        <w:sz w:val="16"/>
        <w:vertAlign w:val="superscript"/>
      </w:rPr>
      <w:t>ST</w:t>
    </w:r>
    <w:r w:rsidR="007061F0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7061F0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>(2023-2024)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8712B7">
      <w:rPr>
        <w:rFonts w:ascii="Times New Roman" w:hAnsi="Times New Roman" w:cs="Times New Roman"/>
        <w:sz w:val="16"/>
      </w:rPr>
      <w:t>K.BALAKRISHNA</w:t>
    </w:r>
  </w:p>
  <w:p w14:paraId="7EC22C85" w14:textId="77777777" w:rsidR="0050689C" w:rsidRPr="00F0040D" w:rsidRDefault="0050689C">
    <w:pPr>
      <w:pStyle w:val="Footer"/>
      <w:rPr>
        <w:sz w:val="16"/>
      </w:rPr>
    </w:pPr>
  </w:p>
  <w:p w14:paraId="7A32DBC1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9A5A4" w14:textId="77777777" w:rsidR="009F106E" w:rsidRDefault="009F106E" w:rsidP="00DB570F">
      <w:pPr>
        <w:spacing w:after="0" w:line="240" w:lineRule="auto"/>
      </w:pPr>
      <w:r>
        <w:separator/>
      </w:r>
    </w:p>
  </w:footnote>
  <w:footnote w:type="continuationSeparator" w:id="0">
    <w:p w14:paraId="72FBA22A" w14:textId="77777777" w:rsidR="009F106E" w:rsidRDefault="009F106E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0D7E5" w14:textId="77777777" w:rsidR="00C603C6" w:rsidRDefault="00000000">
    <w:pPr>
      <w:pStyle w:val="Header"/>
    </w:pPr>
    <w:r>
      <w:rPr>
        <w:noProof/>
      </w:rPr>
      <w:pict w14:anchorId="67FB40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393223B9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9142B4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2CE67D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423A8" w14:textId="77777777" w:rsidR="00C603C6" w:rsidRDefault="00000000">
    <w:pPr>
      <w:pStyle w:val="Header"/>
    </w:pPr>
    <w:r>
      <w:rPr>
        <w:noProof/>
      </w:rPr>
      <w:pict w14:anchorId="217C26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97BE2"/>
    <w:rsid w:val="002C0628"/>
    <w:rsid w:val="00377796"/>
    <w:rsid w:val="00412A4D"/>
    <w:rsid w:val="00491A34"/>
    <w:rsid w:val="004C37A3"/>
    <w:rsid w:val="0050689C"/>
    <w:rsid w:val="00517FE9"/>
    <w:rsid w:val="00541D2F"/>
    <w:rsid w:val="005C2483"/>
    <w:rsid w:val="005E2539"/>
    <w:rsid w:val="00657CCB"/>
    <w:rsid w:val="007061F0"/>
    <w:rsid w:val="007300CE"/>
    <w:rsid w:val="00751766"/>
    <w:rsid w:val="00767F40"/>
    <w:rsid w:val="008712B7"/>
    <w:rsid w:val="008D61C5"/>
    <w:rsid w:val="008F2DB3"/>
    <w:rsid w:val="009517CE"/>
    <w:rsid w:val="00997E8F"/>
    <w:rsid w:val="009A76D7"/>
    <w:rsid w:val="009B67C1"/>
    <w:rsid w:val="009F106E"/>
    <w:rsid w:val="00A37C51"/>
    <w:rsid w:val="00AF052D"/>
    <w:rsid w:val="00B9514D"/>
    <w:rsid w:val="00BA3D19"/>
    <w:rsid w:val="00BC37A9"/>
    <w:rsid w:val="00C30118"/>
    <w:rsid w:val="00C603C6"/>
    <w:rsid w:val="00CB06DB"/>
    <w:rsid w:val="00D43D7E"/>
    <w:rsid w:val="00D95F26"/>
    <w:rsid w:val="00DA1A81"/>
    <w:rsid w:val="00DA5AE4"/>
    <w:rsid w:val="00DB570F"/>
    <w:rsid w:val="00E2197E"/>
    <w:rsid w:val="00E8546D"/>
    <w:rsid w:val="00F0040D"/>
    <w:rsid w:val="00F423D3"/>
    <w:rsid w:val="00F54B91"/>
    <w:rsid w:val="00FB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5EE7C"/>
  <w15:docId w15:val="{373FE6CD-83C8-4E4B-B349-EF372A22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5E2539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1Char">
    <w:name w:val="Heading 1 Char"/>
    <w:basedOn w:val="DefaultParagraphFont"/>
    <w:link w:val="Heading1"/>
    <w:uiPriority w:val="9"/>
    <w:rsid w:val="005E25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E25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E25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Gravimetric_analysis" TargetMode="External"/><Relationship Id="rId13" Type="http://schemas.openxmlformats.org/officeDocument/2006/relationships/hyperlink" Target="https://en.wikipedia.org/wiki/Adsorbed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Chemical_analysis" TargetMode="External"/><Relationship Id="rId12" Type="http://schemas.openxmlformats.org/officeDocument/2006/relationships/hyperlink" Target="https://en.wikipedia.org/wiki/Ionic_radius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Precipitate" TargetMode="External"/><Relationship Id="rId11" Type="http://schemas.openxmlformats.org/officeDocument/2006/relationships/hyperlink" Target="https://en.wikipedia.org/wiki/Crystallographic_defect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en.wikipedia.org/wiki/Crystal_structure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en.wikipedia.org/wiki/Analyt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Bala Krishna</cp:lastModifiedBy>
  <cp:revision>7</cp:revision>
  <cp:lastPrinted>2024-05-22T07:36:00Z</cp:lastPrinted>
  <dcterms:created xsi:type="dcterms:W3CDTF">2024-05-22T07:39:00Z</dcterms:created>
  <dcterms:modified xsi:type="dcterms:W3CDTF">2024-06-08T10:11:00Z</dcterms:modified>
</cp:coreProperties>
</file>