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A3864" w14:textId="77777777" w:rsidR="007B6F7E" w:rsidRPr="00DB570F" w:rsidRDefault="009517CE" w:rsidP="007B6F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B6F7E"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="007B6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="007B6F7E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7B6F7E"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="007B6F7E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E00F476" w14:textId="31520AA7" w:rsidR="00DB570F" w:rsidRDefault="00DB570F" w:rsidP="007B6F7E">
      <w:pPr>
        <w:jc w:val="center"/>
      </w:pPr>
    </w:p>
    <w:p w14:paraId="6C86AB18" w14:textId="1F3A653D" w:rsidR="00DB570F" w:rsidRPr="00DA1A81" w:rsidRDefault="00DA1A81" w:rsidP="007B6F7E">
      <w:pPr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F7E">
        <w:rPr>
          <w:rFonts w:ascii="Times New Roman" w:hAnsi="Times New Roman" w:cs="Times New Roman"/>
          <w:sz w:val="24"/>
          <w:szCs w:val="24"/>
        </w:rPr>
        <w:t>III PRECIPITATION TITRATION,COMPLEXOMETRIC TITRATION,GRAVIMETRY AND DIAZOTISATION TITRATION</w:t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055EBA06" w14:textId="7302D232"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7B6F7E">
        <w:rPr>
          <w:rFonts w:ascii="Times New Roman" w:hAnsi="Times New Roman" w:cs="Times New Roman"/>
          <w:sz w:val="24"/>
          <w:szCs w:val="24"/>
        </w:rPr>
        <w:t>4</w:t>
      </w:r>
    </w:p>
    <w:p w14:paraId="1E1326DD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5FC6A5FA" w14:textId="514FC4EB" w:rsidR="00D43D7E" w:rsidRPr="00AF052D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7B6F7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METAL ION INDICATORS</w:t>
      </w:r>
    </w:p>
    <w:p w14:paraId="62DA62C7" w14:textId="77777777"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243708D6" w14:textId="77777777" w:rsidR="007B6F7E" w:rsidRPr="007B6F7E" w:rsidRDefault="007B6F7E" w:rsidP="007B6F7E">
      <w:pPr>
        <w:pStyle w:val="Heading1"/>
        <w:spacing w:before="1"/>
        <w:ind w:left="0" w:hanging="284"/>
        <w:jc w:val="both"/>
        <w:rPr>
          <w:b w:val="0"/>
        </w:rPr>
      </w:pPr>
      <w:r w:rsidRPr="007B6F7E">
        <w:t>Metal</w:t>
      </w:r>
      <w:r w:rsidRPr="007B6F7E">
        <w:rPr>
          <w:spacing w:val="-3"/>
        </w:rPr>
        <w:t xml:space="preserve"> </w:t>
      </w:r>
      <w:r w:rsidRPr="007B6F7E">
        <w:t>ion-indicators</w:t>
      </w:r>
      <w:r w:rsidRPr="007B6F7E">
        <w:rPr>
          <w:b w:val="0"/>
        </w:rPr>
        <w:t>:</w:t>
      </w:r>
    </w:p>
    <w:p w14:paraId="6E5AC39E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661"/>
        <w:jc w:val="both"/>
      </w:pPr>
      <w:r w:rsidRPr="007B6F7E">
        <w:rPr>
          <w:color w:val="1F2021"/>
        </w:rPr>
        <w:t xml:space="preserve">A </w:t>
      </w:r>
      <w:r w:rsidRPr="007B6F7E">
        <w:rPr>
          <w:b/>
          <w:color w:val="1F2021"/>
        </w:rPr>
        <w:t xml:space="preserve">complexometric indicator </w:t>
      </w:r>
      <w:r w:rsidRPr="007B6F7E">
        <w:rPr>
          <w:color w:val="1F2021"/>
        </w:rPr>
        <w:t xml:space="preserve">is an </w:t>
      </w:r>
      <w:hyperlink r:id="rId7">
        <w:proofErr w:type="spellStart"/>
        <w:r w:rsidRPr="007B6F7E">
          <w:t>ionochromi</w:t>
        </w:r>
      </w:hyperlink>
      <w:r w:rsidRPr="007B6F7E">
        <w:t>c</w:t>
      </w:r>
      <w:proofErr w:type="spellEnd"/>
      <w:r w:rsidRPr="007B6F7E">
        <w:t xml:space="preserve"> </w:t>
      </w:r>
      <w:hyperlink r:id="rId8">
        <w:r w:rsidRPr="007B6F7E">
          <w:t xml:space="preserve">dye </w:t>
        </w:r>
      </w:hyperlink>
      <w:r w:rsidRPr="007B6F7E">
        <w:rPr>
          <w:color w:val="1F2021"/>
        </w:rPr>
        <w:t>that undergoes a definite color change in</w:t>
      </w:r>
      <w:r w:rsidRPr="007B6F7E">
        <w:rPr>
          <w:color w:val="1F2021"/>
          <w:spacing w:val="-58"/>
        </w:rPr>
        <w:t xml:space="preserve"> </w:t>
      </w:r>
      <w:r w:rsidRPr="007B6F7E">
        <w:rPr>
          <w:color w:val="1F2021"/>
        </w:rPr>
        <w:t xml:space="preserve">presence of specific metal </w:t>
      </w:r>
      <w:hyperlink r:id="rId9">
        <w:r w:rsidRPr="007B6F7E">
          <w:t>ions</w:t>
        </w:r>
      </w:hyperlink>
      <w:r w:rsidRPr="007B6F7E">
        <w:t xml:space="preserve">. </w:t>
      </w:r>
    </w:p>
    <w:p w14:paraId="2B0F8859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661"/>
        <w:jc w:val="both"/>
      </w:pPr>
      <w:r w:rsidRPr="007B6F7E">
        <w:rPr>
          <w:color w:val="1F2021"/>
        </w:rPr>
        <w:t xml:space="preserve">It forms a weak </w:t>
      </w:r>
      <w:hyperlink r:id="rId10">
        <w:r w:rsidRPr="007B6F7E">
          <w:t xml:space="preserve">complex </w:t>
        </w:r>
      </w:hyperlink>
      <w:r w:rsidRPr="007B6F7E">
        <w:rPr>
          <w:color w:val="1F2021"/>
        </w:rPr>
        <w:t>with the ions present in the solution,</w:t>
      </w:r>
      <w:r w:rsidRPr="007B6F7E">
        <w:rPr>
          <w:color w:val="1F2021"/>
          <w:spacing w:val="-57"/>
        </w:rPr>
        <w:t xml:space="preserve"> </w:t>
      </w:r>
      <w:r w:rsidRPr="007B6F7E">
        <w:rPr>
          <w:color w:val="1F2021"/>
        </w:rPr>
        <w:t>which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has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a</w:t>
      </w:r>
      <w:r w:rsidRPr="007B6F7E">
        <w:rPr>
          <w:color w:val="1F2021"/>
          <w:spacing w:val="1"/>
        </w:rPr>
        <w:t xml:space="preserve"> </w:t>
      </w:r>
      <w:r w:rsidRPr="007B6F7E">
        <w:rPr>
          <w:color w:val="1F2021"/>
        </w:rPr>
        <w:t>significantly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different color from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the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form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existing outside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the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complex.</w:t>
      </w:r>
    </w:p>
    <w:p w14:paraId="0DEE933B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line="360" w:lineRule="auto"/>
        <w:jc w:val="both"/>
      </w:pPr>
      <w:r w:rsidRPr="007B6F7E">
        <w:rPr>
          <w:color w:val="1F2021"/>
        </w:rPr>
        <w:t>Complexometric</w:t>
      </w:r>
      <w:r w:rsidRPr="007B6F7E">
        <w:rPr>
          <w:color w:val="1F2021"/>
          <w:spacing w:val="-3"/>
        </w:rPr>
        <w:t xml:space="preserve"> </w:t>
      </w:r>
      <w:r w:rsidRPr="007B6F7E">
        <w:rPr>
          <w:color w:val="1F2021"/>
        </w:rPr>
        <w:t>indicators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are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also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known as</w:t>
      </w:r>
      <w:r w:rsidRPr="007B6F7E">
        <w:rPr>
          <w:color w:val="1F2021"/>
          <w:spacing w:val="-2"/>
        </w:rPr>
        <w:t xml:space="preserve"> </w:t>
      </w:r>
      <w:proofErr w:type="spellStart"/>
      <w:r w:rsidRPr="007B6F7E">
        <w:rPr>
          <w:color w:val="1F2021"/>
        </w:rPr>
        <w:t>pM</w:t>
      </w:r>
      <w:proofErr w:type="spellEnd"/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indicators.</w:t>
      </w:r>
    </w:p>
    <w:p w14:paraId="1492EA32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355"/>
        <w:rPr>
          <w:spacing w:val="-1"/>
        </w:rPr>
      </w:pPr>
      <w:r w:rsidRPr="007B6F7E">
        <w:rPr>
          <w:color w:val="1F2021"/>
        </w:rPr>
        <w:t xml:space="preserve">In </w:t>
      </w:r>
      <w:hyperlink r:id="rId11">
        <w:r w:rsidRPr="007B6F7E">
          <w:t>analytical chemistry</w:t>
        </w:r>
      </w:hyperlink>
      <w:r w:rsidRPr="007B6F7E">
        <w:t xml:space="preserve">, complexometric indicators are used in </w:t>
      </w:r>
      <w:hyperlink r:id="rId12">
        <w:r w:rsidRPr="007B6F7E">
          <w:t xml:space="preserve">complexometric titration </w:t>
        </w:r>
      </w:hyperlink>
      <w:r w:rsidRPr="007B6F7E">
        <w:t>to</w:t>
      </w:r>
      <w:r w:rsidRPr="007B6F7E">
        <w:rPr>
          <w:spacing w:val="1"/>
        </w:rPr>
        <w:t xml:space="preserve"> </w:t>
      </w:r>
      <w:r w:rsidRPr="007B6F7E">
        <w:t>indicate</w:t>
      </w:r>
      <w:r w:rsidRPr="007B6F7E">
        <w:rPr>
          <w:spacing w:val="-3"/>
        </w:rPr>
        <w:t xml:space="preserve"> </w:t>
      </w:r>
      <w:r w:rsidRPr="007B6F7E">
        <w:t>the</w:t>
      </w:r>
      <w:r w:rsidRPr="007B6F7E">
        <w:rPr>
          <w:spacing w:val="-2"/>
        </w:rPr>
        <w:t xml:space="preserve"> </w:t>
      </w:r>
      <w:r w:rsidRPr="007B6F7E">
        <w:t>exact</w:t>
      </w:r>
      <w:r w:rsidRPr="007B6F7E">
        <w:rPr>
          <w:spacing w:val="1"/>
        </w:rPr>
        <w:t xml:space="preserve"> </w:t>
      </w:r>
      <w:r w:rsidRPr="007B6F7E">
        <w:t>moment</w:t>
      </w:r>
      <w:r w:rsidRPr="007B6F7E">
        <w:rPr>
          <w:spacing w:val="-3"/>
        </w:rPr>
        <w:t xml:space="preserve"> </w:t>
      </w:r>
      <w:r w:rsidRPr="007B6F7E">
        <w:t>whe</w:t>
      </w:r>
      <w:r w:rsidRPr="007B6F7E">
        <w:rPr>
          <w:color w:val="1F2021"/>
        </w:rPr>
        <w:t>n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all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the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metal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ions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in</w:t>
      </w:r>
      <w:r w:rsidRPr="007B6F7E">
        <w:rPr>
          <w:color w:val="1F2021"/>
          <w:spacing w:val="-4"/>
        </w:rPr>
        <w:t xml:space="preserve"> </w:t>
      </w:r>
      <w:r w:rsidRPr="007B6F7E">
        <w:rPr>
          <w:color w:val="1F2021"/>
        </w:rPr>
        <w:t>the solution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are sequestered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by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 xml:space="preserve">a </w:t>
      </w:r>
      <w:hyperlink r:id="rId13">
        <w:r w:rsidRPr="007B6F7E">
          <w:t>chelating</w:t>
        </w:r>
      </w:hyperlink>
      <w:r w:rsidRPr="007B6F7E">
        <w:rPr>
          <w:spacing w:val="-57"/>
        </w:rPr>
        <w:t xml:space="preserve"> </w:t>
      </w:r>
      <w:r w:rsidRPr="007B6F7E">
        <w:t>agent</w:t>
      </w:r>
      <w:r w:rsidRPr="007B6F7E">
        <w:rPr>
          <w:spacing w:val="-2"/>
        </w:rPr>
        <w:t xml:space="preserve"> </w:t>
      </w:r>
      <w:r w:rsidRPr="007B6F7E">
        <w:t>(most</w:t>
      </w:r>
      <w:r w:rsidRPr="007B6F7E">
        <w:rPr>
          <w:spacing w:val="-1"/>
        </w:rPr>
        <w:t xml:space="preserve"> </w:t>
      </w:r>
      <w:r w:rsidRPr="007B6F7E">
        <w:t>usually</w:t>
      </w:r>
      <w:r w:rsidRPr="007B6F7E">
        <w:rPr>
          <w:spacing w:val="-1"/>
        </w:rPr>
        <w:t xml:space="preserve"> </w:t>
      </w:r>
      <w:hyperlink r:id="rId14">
        <w:r w:rsidRPr="007B6F7E">
          <w:t>EDTA</w:t>
        </w:r>
      </w:hyperlink>
      <w:r w:rsidRPr="007B6F7E">
        <w:t>).</w:t>
      </w:r>
      <w:r w:rsidRPr="007B6F7E">
        <w:rPr>
          <w:spacing w:val="-1"/>
        </w:rPr>
        <w:t xml:space="preserve"> </w:t>
      </w:r>
    </w:p>
    <w:p w14:paraId="632F36A3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355"/>
      </w:pPr>
      <w:r w:rsidRPr="007B6F7E">
        <w:t>Such</w:t>
      </w:r>
      <w:r w:rsidRPr="007B6F7E">
        <w:rPr>
          <w:spacing w:val="-1"/>
        </w:rPr>
        <w:t xml:space="preserve"> </w:t>
      </w:r>
      <w:r w:rsidRPr="007B6F7E">
        <w:t>indicators</w:t>
      </w:r>
      <w:r w:rsidRPr="007B6F7E">
        <w:rPr>
          <w:spacing w:val="-1"/>
        </w:rPr>
        <w:t xml:space="preserve"> </w:t>
      </w:r>
      <w:r w:rsidRPr="007B6F7E">
        <w:t>are also</w:t>
      </w:r>
      <w:r w:rsidRPr="007B6F7E">
        <w:rPr>
          <w:spacing w:val="-1"/>
        </w:rPr>
        <w:t xml:space="preserve"> </w:t>
      </w:r>
      <w:r w:rsidRPr="007B6F7E">
        <w:t>called</w:t>
      </w:r>
      <w:r w:rsidRPr="007B6F7E">
        <w:rPr>
          <w:spacing w:val="1"/>
        </w:rPr>
        <w:t xml:space="preserve"> </w:t>
      </w:r>
      <w:r w:rsidRPr="007B6F7E">
        <w:rPr>
          <w:b/>
        </w:rPr>
        <w:t>metallochromic</w:t>
      </w:r>
      <w:r w:rsidRPr="007B6F7E">
        <w:rPr>
          <w:b/>
          <w:spacing w:val="-3"/>
        </w:rPr>
        <w:t xml:space="preserve"> </w:t>
      </w:r>
      <w:r w:rsidRPr="007B6F7E">
        <w:rPr>
          <w:b/>
        </w:rPr>
        <w:t>indicators</w:t>
      </w:r>
      <w:r w:rsidRPr="007B6F7E">
        <w:t>.</w:t>
      </w:r>
    </w:p>
    <w:p w14:paraId="254FE714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582"/>
      </w:pPr>
      <w:r w:rsidRPr="007B6F7E">
        <w:rPr>
          <w:color w:val="1F2021"/>
        </w:rPr>
        <w:t>The indicator may be present in another liquid phase in equilibrium with the titrated phase, the</w:t>
      </w:r>
      <w:r w:rsidRPr="007B6F7E">
        <w:rPr>
          <w:color w:val="1F2021"/>
          <w:spacing w:val="-58"/>
        </w:rPr>
        <w:t xml:space="preserve"> </w:t>
      </w:r>
      <w:r w:rsidRPr="007B6F7E">
        <w:rPr>
          <w:color w:val="1F2021"/>
        </w:rPr>
        <w:t>indicator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 xml:space="preserve">is described as </w:t>
      </w:r>
      <w:r w:rsidRPr="007B6F7E">
        <w:rPr>
          <w:b/>
          <w:color w:val="1F2021"/>
        </w:rPr>
        <w:t>extraction</w:t>
      </w:r>
      <w:r w:rsidRPr="007B6F7E">
        <w:rPr>
          <w:b/>
          <w:color w:val="1F2021"/>
          <w:spacing w:val="3"/>
        </w:rPr>
        <w:t xml:space="preserve"> </w:t>
      </w:r>
      <w:r w:rsidRPr="007B6F7E">
        <w:rPr>
          <w:b/>
          <w:color w:val="1F2021"/>
        </w:rPr>
        <w:t>indicator</w:t>
      </w:r>
      <w:r w:rsidRPr="007B6F7E">
        <w:rPr>
          <w:color w:val="1F2021"/>
        </w:rPr>
        <w:t>.</w:t>
      </w:r>
    </w:p>
    <w:p w14:paraId="0560B845" w14:textId="77777777" w:rsidR="007B6F7E" w:rsidRPr="007B6F7E" w:rsidRDefault="007B6F7E" w:rsidP="007B6F7E">
      <w:pPr>
        <w:pStyle w:val="BodyText"/>
        <w:numPr>
          <w:ilvl w:val="0"/>
          <w:numId w:val="2"/>
        </w:numPr>
        <w:spacing w:before="120" w:line="360" w:lineRule="auto"/>
        <w:ind w:right="355"/>
      </w:pPr>
      <w:r w:rsidRPr="007B6F7E">
        <w:rPr>
          <w:color w:val="1F2021"/>
        </w:rPr>
        <w:t>Some complexometric indicators are sensitive to air and are destroyed. When such solution loses</w:t>
      </w:r>
      <w:r w:rsidRPr="007B6F7E">
        <w:rPr>
          <w:color w:val="1F2021"/>
          <w:spacing w:val="-58"/>
        </w:rPr>
        <w:t xml:space="preserve"> </w:t>
      </w:r>
      <w:r w:rsidRPr="007B6F7E">
        <w:rPr>
          <w:color w:val="1F2021"/>
        </w:rPr>
        <w:t>color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during titration, a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drop</w:t>
      </w:r>
      <w:r w:rsidRPr="007B6F7E">
        <w:rPr>
          <w:color w:val="1F2021"/>
          <w:spacing w:val="2"/>
        </w:rPr>
        <w:t xml:space="preserve"> </w:t>
      </w:r>
      <w:r w:rsidRPr="007B6F7E">
        <w:rPr>
          <w:color w:val="1F2021"/>
        </w:rPr>
        <w:t>or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two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of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fresh</w:t>
      </w:r>
      <w:r w:rsidRPr="007B6F7E">
        <w:rPr>
          <w:color w:val="1F2021"/>
          <w:spacing w:val="2"/>
        </w:rPr>
        <w:t xml:space="preserve"> </w:t>
      </w:r>
      <w:r w:rsidRPr="007B6F7E">
        <w:rPr>
          <w:color w:val="1F2021"/>
        </w:rPr>
        <w:t>indicator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may</w:t>
      </w:r>
      <w:r w:rsidRPr="007B6F7E">
        <w:rPr>
          <w:color w:val="1F2021"/>
          <w:spacing w:val="2"/>
        </w:rPr>
        <w:t xml:space="preserve"> </w:t>
      </w:r>
      <w:r w:rsidRPr="007B6F7E">
        <w:rPr>
          <w:color w:val="1F2021"/>
        </w:rPr>
        <w:t>have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to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be</w:t>
      </w:r>
      <w:r w:rsidRPr="007B6F7E">
        <w:rPr>
          <w:color w:val="1F2021"/>
          <w:spacing w:val="1"/>
        </w:rPr>
        <w:t xml:space="preserve"> </w:t>
      </w:r>
      <w:r w:rsidRPr="007B6F7E">
        <w:rPr>
          <w:color w:val="1F2021"/>
        </w:rPr>
        <w:t>added.</w:t>
      </w:r>
    </w:p>
    <w:p w14:paraId="6A89E5E9" w14:textId="77777777" w:rsidR="007B6F7E" w:rsidRPr="007B6F7E" w:rsidRDefault="007B6F7E" w:rsidP="007B6F7E">
      <w:pPr>
        <w:pStyle w:val="BodyText"/>
        <w:spacing w:before="120" w:line="360" w:lineRule="auto"/>
        <w:ind w:left="220"/>
      </w:pPr>
      <w:r w:rsidRPr="007B6F7E">
        <w:rPr>
          <w:color w:val="1F2021"/>
        </w:rPr>
        <w:t>Complexometric</w:t>
      </w:r>
      <w:r w:rsidRPr="007B6F7E">
        <w:rPr>
          <w:color w:val="1F2021"/>
          <w:spacing w:val="-3"/>
        </w:rPr>
        <w:t xml:space="preserve"> </w:t>
      </w:r>
      <w:r w:rsidRPr="007B6F7E">
        <w:rPr>
          <w:color w:val="1F2021"/>
        </w:rPr>
        <w:t>indicators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are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water-soluble</w:t>
      </w:r>
      <w:r w:rsidRPr="007B6F7E">
        <w:rPr>
          <w:color w:val="1F2021"/>
          <w:spacing w:val="-3"/>
        </w:rPr>
        <w:t xml:space="preserve"> </w:t>
      </w:r>
      <w:r w:rsidRPr="007B6F7E">
        <w:rPr>
          <w:color w:val="1F2021"/>
        </w:rPr>
        <w:t>organic</w:t>
      </w:r>
      <w:r w:rsidRPr="007B6F7E">
        <w:rPr>
          <w:color w:val="1F2021"/>
          <w:spacing w:val="-1"/>
        </w:rPr>
        <w:t xml:space="preserve"> </w:t>
      </w:r>
      <w:r w:rsidRPr="007B6F7E">
        <w:rPr>
          <w:color w:val="1F2021"/>
        </w:rPr>
        <w:t>molecules. Some</w:t>
      </w:r>
      <w:r w:rsidRPr="007B6F7E">
        <w:rPr>
          <w:color w:val="1F2021"/>
          <w:spacing w:val="-6"/>
        </w:rPr>
        <w:t xml:space="preserve"> </w:t>
      </w:r>
      <w:r w:rsidRPr="007B6F7E">
        <w:rPr>
          <w:color w:val="1F2021"/>
        </w:rPr>
        <w:t>examples</w:t>
      </w:r>
      <w:r w:rsidRPr="007B6F7E">
        <w:rPr>
          <w:color w:val="1F2021"/>
          <w:spacing w:val="-2"/>
        </w:rPr>
        <w:t xml:space="preserve"> </w:t>
      </w:r>
      <w:r w:rsidRPr="007B6F7E">
        <w:rPr>
          <w:color w:val="1F2021"/>
        </w:rPr>
        <w:t>are:</w:t>
      </w:r>
    </w:p>
    <w:p w14:paraId="47461A59" w14:textId="77777777" w:rsidR="007B6F7E" w:rsidRPr="007B6F7E" w:rsidRDefault="007B6F7E" w:rsidP="007B6F7E">
      <w:pPr>
        <w:pStyle w:val="BodyText"/>
        <w:spacing w:before="5" w:line="360" w:lineRule="auto"/>
      </w:pPr>
    </w:p>
    <w:p w14:paraId="676DA817" w14:textId="77777777" w:rsidR="007B6F7E" w:rsidRPr="007B6F7E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360" w:lineRule="auto"/>
        <w:ind w:left="940"/>
        <w:rPr>
          <w:sz w:val="24"/>
          <w:szCs w:val="24"/>
        </w:rPr>
      </w:pPr>
      <w:hyperlink r:id="rId15">
        <w:proofErr w:type="spellStart"/>
        <w:r w:rsidR="007B6F7E" w:rsidRPr="007B6F7E">
          <w:rPr>
            <w:sz w:val="24"/>
            <w:szCs w:val="24"/>
          </w:rPr>
          <w:t>Calcein</w:t>
        </w:r>
        <w:proofErr w:type="spellEnd"/>
        <w:r w:rsidR="007B6F7E" w:rsidRPr="007B6F7E">
          <w:rPr>
            <w:spacing w:val="-3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with</w:t>
      </w:r>
      <w:r w:rsidR="007B6F7E" w:rsidRPr="007B6F7E">
        <w:rPr>
          <w:spacing w:val="-2"/>
          <w:sz w:val="24"/>
          <w:szCs w:val="24"/>
        </w:rPr>
        <w:t xml:space="preserve"> </w:t>
      </w:r>
      <w:hyperlink r:id="rId16">
        <w:r w:rsidR="007B6F7E" w:rsidRPr="007B6F7E">
          <w:rPr>
            <w:sz w:val="24"/>
            <w:szCs w:val="24"/>
          </w:rPr>
          <w:t>EDTA</w:t>
        </w:r>
        <w:r w:rsidR="007B6F7E" w:rsidRPr="007B6F7E">
          <w:rPr>
            <w:spacing w:val="-1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for</w:t>
      </w:r>
      <w:r w:rsidR="007B6F7E" w:rsidRPr="007B6F7E">
        <w:rPr>
          <w:spacing w:val="-3"/>
          <w:sz w:val="24"/>
          <w:szCs w:val="24"/>
        </w:rPr>
        <w:t xml:space="preserve"> </w:t>
      </w:r>
      <w:r w:rsidR="007B6F7E" w:rsidRPr="007B6F7E">
        <w:rPr>
          <w:sz w:val="24"/>
          <w:szCs w:val="24"/>
        </w:rPr>
        <w:t>calcium</w:t>
      </w:r>
    </w:p>
    <w:p w14:paraId="74D65970" w14:textId="77777777" w:rsidR="007B6F7E" w:rsidRPr="007B6F7E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left="940"/>
        <w:rPr>
          <w:sz w:val="24"/>
          <w:szCs w:val="24"/>
        </w:rPr>
      </w:pPr>
      <w:hyperlink r:id="rId17">
        <w:r w:rsidR="007B6F7E" w:rsidRPr="007B6F7E">
          <w:rPr>
            <w:sz w:val="24"/>
            <w:szCs w:val="24"/>
          </w:rPr>
          <w:t>Patton-Reeder</w:t>
        </w:r>
        <w:r w:rsidR="007B6F7E" w:rsidRPr="007B6F7E">
          <w:rPr>
            <w:spacing w:val="-2"/>
            <w:sz w:val="24"/>
            <w:szCs w:val="24"/>
          </w:rPr>
          <w:t xml:space="preserve"> </w:t>
        </w:r>
        <w:r w:rsidR="007B6F7E" w:rsidRPr="007B6F7E">
          <w:rPr>
            <w:sz w:val="24"/>
            <w:szCs w:val="24"/>
          </w:rPr>
          <w:t>Indicator</w:t>
        </w:r>
        <w:r w:rsidR="007B6F7E" w:rsidRPr="007B6F7E">
          <w:rPr>
            <w:spacing w:val="-1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with</w:t>
      </w:r>
      <w:r w:rsidR="007B6F7E" w:rsidRPr="007B6F7E">
        <w:rPr>
          <w:spacing w:val="-6"/>
          <w:sz w:val="24"/>
          <w:szCs w:val="24"/>
        </w:rPr>
        <w:t xml:space="preserve"> </w:t>
      </w:r>
      <w:hyperlink r:id="rId18">
        <w:r w:rsidR="007B6F7E" w:rsidRPr="007B6F7E">
          <w:rPr>
            <w:sz w:val="24"/>
            <w:szCs w:val="24"/>
          </w:rPr>
          <w:t>EDTA</w:t>
        </w:r>
        <w:r w:rsidR="007B6F7E" w:rsidRPr="007B6F7E">
          <w:rPr>
            <w:spacing w:val="-1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for</w:t>
      </w:r>
      <w:r w:rsidR="007B6F7E" w:rsidRPr="007B6F7E">
        <w:rPr>
          <w:spacing w:val="-2"/>
          <w:sz w:val="24"/>
          <w:szCs w:val="24"/>
        </w:rPr>
        <w:t xml:space="preserve"> </w:t>
      </w:r>
      <w:r w:rsidR="007B6F7E" w:rsidRPr="007B6F7E">
        <w:rPr>
          <w:sz w:val="24"/>
          <w:szCs w:val="24"/>
        </w:rPr>
        <w:t>calcium</w:t>
      </w:r>
      <w:r w:rsidR="007B6F7E" w:rsidRPr="007B6F7E">
        <w:rPr>
          <w:spacing w:val="-2"/>
          <w:sz w:val="24"/>
          <w:szCs w:val="24"/>
        </w:rPr>
        <w:t xml:space="preserve"> </w:t>
      </w:r>
      <w:r w:rsidR="007B6F7E" w:rsidRPr="007B6F7E">
        <w:rPr>
          <w:sz w:val="24"/>
          <w:szCs w:val="24"/>
        </w:rPr>
        <w:t>with</w:t>
      </w:r>
      <w:r w:rsidR="007B6F7E" w:rsidRPr="007B6F7E">
        <w:rPr>
          <w:spacing w:val="-2"/>
          <w:sz w:val="24"/>
          <w:szCs w:val="24"/>
        </w:rPr>
        <w:t xml:space="preserve"> </w:t>
      </w:r>
      <w:r w:rsidR="007B6F7E" w:rsidRPr="007B6F7E">
        <w:rPr>
          <w:sz w:val="24"/>
          <w:szCs w:val="24"/>
        </w:rPr>
        <w:t>magnesium</w:t>
      </w:r>
    </w:p>
    <w:p w14:paraId="5E320AC8" w14:textId="77777777" w:rsidR="007B6F7E" w:rsidRPr="007B6F7E" w:rsidRDefault="007B6F7E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right="440" w:hanging="360"/>
        <w:rPr>
          <w:sz w:val="24"/>
          <w:szCs w:val="24"/>
        </w:rPr>
      </w:pPr>
      <w:r w:rsidRPr="007B6F7E">
        <w:rPr>
          <w:sz w:val="24"/>
          <w:szCs w:val="24"/>
        </w:rPr>
        <w:lastRenderedPageBreak/>
        <w:tab/>
      </w:r>
      <w:hyperlink r:id="rId19">
        <w:r w:rsidRPr="007B6F7E">
          <w:rPr>
            <w:sz w:val="24"/>
            <w:szCs w:val="24"/>
          </w:rPr>
          <w:t xml:space="preserve">Curcumin </w:t>
        </w:r>
      </w:hyperlink>
      <w:r w:rsidRPr="007B6F7E">
        <w:rPr>
          <w:sz w:val="24"/>
          <w:szCs w:val="24"/>
        </w:rPr>
        <w:t xml:space="preserve">for </w:t>
      </w:r>
      <w:hyperlink r:id="rId20">
        <w:r w:rsidRPr="007B6F7E">
          <w:rPr>
            <w:sz w:val="24"/>
            <w:szCs w:val="24"/>
          </w:rPr>
          <w:t>boron</w:t>
        </w:r>
      </w:hyperlink>
      <w:r w:rsidRPr="007B6F7E">
        <w:rPr>
          <w:sz w:val="24"/>
          <w:szCs w:val="24"/>
        </w:rPr>
        <w:t xml:space="preserve">, that forms </w:t>
      </w:r>
      <w:hyperlink r:id="rId21">
        <w:proofErr w:type="spellStart"/>
        <w:r w:rsidRPr="007B6F7E">
          <w:rPr>
            <w:sz w:val="24"/>
            <w:szCs w:val="24"/>
          </w:rPr>
          <w:t>Rosocyanine</w:t>
        </w:r>
        <w:proofErr w:type="spellEnd"/>
      </w:hyperlink>
      <w:r w:rsidRPr="007B6F7E">
        <w:rPr>
          <w:sz w:val="24"/>
          <w:szCs w:val="24"/>
        </w:rPr>
        <w:t>, although the red color change of curcumin</w:t>
      </w:r>
      <w:r w:rsidRPr="007B6F7E">
        <w:rPr>
          <w:spacing w:val="-57"/>
          <w:sz w:val="24"/>
          <w:szCs w:val="24"/>
        </w:rPr>
        <w:t xml:space="preserve"> </w:t>
      </w:r>
      <w:r w:rsidRPr="007B6F7E">
        <w:rPr>
          <w:sz w:val="24"/>
          <w:szCs w:val="24"/>
        </w:rPr>
        <w:t>also</w:t>
      </w:r>
      <w:r w:rsidRPr="007B6F7E">
        <w:rPr>
          <w:spacing w:val="-1"/>
          <w:sz w:val="24"/>
          <w:szCs w:val="24"/>
        </w:rPr>
        <w:t xml:space="preserve"> </w:t>
      </w:r>
      <w:r w:rsidRPr="007B6F7E">
        <w:rPr>
          <w:sz w:val="24"/>
          <w:szCs w:val="24"/>
        </w:rPr>
        <w:t>occurs</w:t>
      </w:r>
      <w:r w:rsidRPr="007B6F7E">
        <w:rPr>
          <w:spacing w:val="2"/>
          <w:sz w:val="24"/>
          <w:szCs w:val="24"/>
        </w:rPr>
        <w:t xml:space="preserve"> </w:t>
      </w:r>
      <w:r w:rsidRPr="007B6F7E">
        <w:rPr>
          <w:sz w:val="24"/>
          <w:szCs w:val="24"/>
        </w:rPr>
        <w:t>for</w:t>
      </w:r>
      <w:r w:rsidRPr="007B6F7E">
        <w:rPr>
          <w:spacing w:val="-1"/>
          <w:sz w:val="24"/>
          <w:szCs w:val="24"/>
        </w:rPr>
        <w:t xml:space="preserve"> </w:t>
      </w:r>
      <w:r w:rsidRPr="007B6F7E">
        <w:rPr>
          <w:sz w:val="24"/>
          <w:szCs w:val="24"/>
        </w:rPr>
        <w:t>pH</w:t>
      </w:r>
      <w:r w:rsidRPr="007B6F7E">
        <w:rPr>
          <w:spacing w:val="1"/>
          <w:sz w:val="24"/>
          <w:szCs w:val="24"/>
        </w:rPr>
        <w:t xml:space="preserve"> </w:t>
      </w:r>
      <w:r w:rsidRPr="007B6F7E">
        <w:rPr>
          <w:sz w:val="24"/>
          <w:szCs w:val="24"/>
        </w:rPr>
        <w:t>&gt;</w:t>
      </w:r>
      <w:r w:rsidRPr="007B6F7E">
        <w:rPr>
          <w:spacing w:val="-1"/>
          <w:sz w:val="24"/>
          <w:szCs w:val="24"/>
        </w:rPr>
        <w:t xml:space="preserve"> </w:t>
      </w:r>
      <w:r w:rsidRPr="007B6F7E">
        <w:rPr>
          <w:sz w:val="24"/>
          <w:szCs w:val="24"/>
        </w:rPr>
        <w:t>8.4</w:t>
      </w:r>
    </w:p>
    <w:p w14:paraId="40D4867A" w14:textId="77777777" w:rsidR="007B6F7E" w:rsidRPr="007B6F7E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left="940"/>
        <w:rPr>
          <w:sz w:val="24"/>
          <w:szCs w:val="24"/>
        </w:rPr>
      </w:pPr>
      <w:hyperlink r:id="rId22">
        <w:r w:rsidR="007B6F7E" w:rsidRPr="007B6F7E">
          <w:rPr>
            <w:sz w:val="24"/>
            <w:szCs w:val="24"/>
          </w:rPr>
          <w:t>Eriochrome</w:t>
        </w:r>
        <w:r w:rsidR="007B6F7E" w:rsidRPr="007B6F7E">
          <w:rPr>
            <w:spacing w:val="-2"/>
            <w:sz w:val="24"/>
            <w:szCs w:val="24"/>
          </w:rPr>
          <w:t xml:space="preserve"> </w:t>
        </w:r>
        <w:r w:rsidR="007B6F7E" w:rsidRPr="007B6F7E">
          <w:rPr>
            <w:sz w:val="24"/>
            <w:szCs w:val="24"/>
          </w:rPr>
          <w:t>Black T</w:t>
        </w:r>
        <w:r w:rsidR="007B6F7E" w:rsidRPr="007B6F7E">
          <w:rPr>
            <w:spacing w:val="-3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for</w:t>
      </w:r>
      <w:r w:rsidR="007B6F7E" w:rsidRPr="007B6F7E">
        <w:rPr>
          <w:spacing w:val="-1"/>
          <w:sz w:val="24"/>
          <w:szCs w:val="24"/>
        </w:rPr>
        <w:t xml:space="preserve"> </w:t>
      </w:r>
      <w:hyperlink r:id="rId23">
        <w:proofErr w:type="spellStart"/>
        <w:r w:rsidR="007B6F7E" w:rsidRPr="007B6F7E">
          <w:rPr>
            <w:sz w:val="24"/>
            <w:szCs w:val="24"/>
          </w:rPr>
          <w:t>aluminium</w:t>
        </w:r>
        <w:proofErr w:type="spellEnd"/>
      </w:hyperlink>
      <w:r w:rsidR="007B6F7E" w:rsidRPr="007B6F7E">
        <w:rPr>
          <w:sz w:val="24"/>
          <w:szCs w:val="24"/>
        </w:rPr>
        <w:t>,</w:t>
      </w:r>
      <w:r w:rsidR="007B6F7E" w:rsidRPr="007B6F7E">
        <w:rPr>
          <w:spacing w:val="-2"/>
          <w:sz w:val="24"/>
          <w:szCs w:val="24"/>
        </w:rPr>
        <w:t xml:space="preserve"> </w:t>
      </w:r>
      <w:hyperlink r:id="rId24">
        <w:r w:rsidR="007B6F7E" w:rsidRPr="007B6F7E">
          <w:rPr>
            <w:sz w:val="24"/>
            <w:szCs w:val="24"/>
          </w:rPr>
          <w:t>cadmium</w:t>
        </w:r>
      </w:hyperlink>
      <w:r w:rsidR="007B6F7E" w:rsidRPr="007B6F7E">
        <w:rPr>
          <w:sz w:val="24"/>
          <w:szCs w:val="24"/>
        </w:rPr>
        <w:t>,</w:t>
      </w:r>
      <w:r w:rsidR="007B6F7E" w:rsidRPr="007B6F7E">
        <w:rPr>
          <w:spacing w:val="-2"/>
          <w:sz w:val="24"/>
          <w:szCs w:val="24"/>
        </w:rPr>
        <w:t xml:space="preserve"> </w:t>
      </w:r>
      <w:hyperlink r:id="rId25">
        <w:r w:rsidR="007B6F7E" w:rsidRPr="007B6F7E">
          <w:rPr>
            <w:sz w:val="24"/>
            <w:szCs w:val="24"/>
          </w:rPr>
          <w:t>calcium</w:t>
        </w:r>
        <w:r w:rsidR="007B6F7E" w:rsidRPr="007B6F7E">
          <w:rPr>
            <w:spacing w:val="-1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and</w:t>
      </w:r>
      <w:r w:rsidR="007B6F7E" w:rsidRPr="007B6F7E">
        <w:rPr>
          <w:spacing w:val="-2"/>
          <w:sz w:val="24"/>
          <w:szCs w:val="24"/>
        </w:rPr>
        <w:t xml:space="preserve"> </w:t>
      </w:r>
      <w:hyperlink r:id="rId26">
        <w:r w:rsidR="007B6F7E" w:rsidRPr="007B6F7E">
          <w:rPr>
            <w:sz w:val="24"/>
            <w:szCs w:val="24"/>
          </w:rPr>
          <w:t>magnesium</w:t>
        </w:r>
      </w:hyperlink>
    </w:p>
    <w:p w14:paraId="3437DEC5" w14:textId="77777777" w:rsidR="007B6F7E" w:rsidRPr="007B6F7E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left="940"/>
        <w:rPr>
          <w:sz w:val="24"/>
          <w:szCs w:val="24"/>
        </w:rPr>
      </w:pPr>
      <w:hyperlink r:id="rId27">
        <w:r w:rsidR="007B6F7E" w:rsidRPr="007B6F7E">
          <w:rPr>
            <w:sz w:val="24"/>
            <w:szCs w:val="24"/>
          </w:rPr>
          <w:t xml:space="preserve">Fast </w:t>
        </w:r>
        <w:proofErr w:type="spellStart"/>
        <w:r w:rsidR="007B6F7E" w:rsidRPr="007B6F7E">
          <w:rPr>
            <w:sz w:val="24"/>
            <w:szCs w:val="24"/>
          </w:rPr>
          <w:t>Sulphon</w:t>
        </w:r>
        <w:proofErr w:type="spellEnd"/>
        <w:r w:rsidR="007B6F7E" w:rsidRPr="007B6F7E">
          <w:rPr>
            <w:spacing w:val="-5"/>
            <w:sz w:val="24"/>
            <w:szCs w:val="24"/>
          </w:rPr>
          <w:t xml:space="preserve"> </w:t>
        </w:r>
        <w:r w:rsidR="007B6F7E" w:rsidRPr="007B6F7E">
          <w:rPr>
            <w:sz w:val="24"/>
            <w:szCs w:val="24"/>
          </w:rPr>
          <w:t>Black</w:t>
        </w:r>
        <w:r w:rsidR="007B6F7E" w:rsidRPr="007B6F7E">
          <w:rPr>
            <w:spacing w:val="-1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with</w:t>
      </w:r>
      <w:r w:rsidR="007B6F7E" w:rsidRPr="007B6F7E">
        <w:rPr>
          <w:spacing w:val="-2"/>
          <w:sz w:val="24"/>
          <w:szCs w:val="24"/>
        </w:rPr>
        <w:t xml:space="preserve"> </w:t>
      </w:r>
      <w:hyperlink r:id="rId28">
        <w:r w:rsidR="007B6F7E" w:rsidRPr="007B6F7E">
          <w:rPr>
            <w:sz w:val="24"/>
            <w:szCs w:val="24"/>
          </w:rPr>
          <w:t>EDTA</w:t>
        </w:r>
        <w:r w:rsidR="007B6F7E" w:rsidRPr="007B6F7E">
          <w:rPr>
            <w:spacing w:val="-3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 xml:space="preserve">for </w:t>
      </w:r>
      <w:hyperlink r:id="rId29">
        <w:r w:rsidR="007B6F7E" w:rsidRPr="007B6F7E">
          <w:rPr>
            <w:sz w:val="24"/>
            <w:szCs w:val="24"/>
          </w:rPr>
          <w:t>copper</w:t>
        </w:r>
      </w:hyperlink>
    </w:p>
    <w:p w14:paraId="5E6A0D59" w14:textId="77777777" w:rsidR="007B6F7E" w:rsidRPr="007B6F7E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left="940"/>
        <w:rPr>
          <w:sz w:val="24"/>
          <w:szCs w:val="24"/>
        </w:rPr>
      </w:pPr>
      <w:hyperlink r:id="rId30">
        <w:r w:rsidR="007B6F7E" w:rsidRPr="007B6F7E">
          <w:rPr>
            <w:sz w:val="24"/>
            <w:szCs w:val="24"/>
          </w:rPr>
          <w:t>Hematoxylin</w:t>
        </w:r>
        <w:r w:rsidR="007B6F7E" w:rsidRPr="007B6F7E">
          <w:rPr>
            <w:spacing w:val="-3"/>
            <w:sz w:val="24"/>
            <w:szCs w:val="24"/>
          </w:rPr>
          <w:t xml:space="preserve"> </w:t>
        </w:r>
      </w:hyperlink>
      <w:r w:rsidR="007B6F7E" w:rsidRPr="007B6F7E">
        <w:rPr>
          <w:sz w:val="24"/>
          <w:szCs w:val="24"/>
        </w:rPr>
        <w:t>for</w:t>
      </w:r>
      <w:r w:rsidR="007B6F7E" w:rsidRPr="007B6F7E">
        <w:rPr>
          <w:spacing w:val="-3"/>
          <w:sz w:val="24"/>
          <w:szCs w:val="24"/>
        </w:rPr>
        <w:t xml:space="preserve"> </w:t>
      </w:r>
      <w:hyperlink r:id="rId31">
        <w:r w:rsidR="007B6F7E" w:rsidRPr="007B6F7E">
          <w:rPr>
            <w:sz w:val="24"/>
            <w:szCs w:val="24"/>
          </w:rPr>
          <w:t>copper</w:t>
        </w:r>
      </w:hyperlink>
    </w:p>
    <w:p w14:paraId="258EEABF" w14:textId="77777777" w:rsidR="007B6F7E" w:rsidRPr="00611AF2" w:rsidRDefault="00000000" w:rsidP="007B6F7E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4" w:line="360" w:lineRule="auto"/>
        <w:ind w:left="940"/>
        <w:rPr>
          <w:sz w:val="24"/>
          <w:szCs w:val="24"/>
        </w:rPr>
      </w:pPr>
      <w:hyperlink r:id="rId32">
        <w:r w:rsidR="007B6F7E" w:rsidRPr="00611AF2">
          <w:rPr>
            <w:sz w:val="24"/>
            <w:szCs w:val="24"/>
          </w:rPr>
          <w:t>Murexide</w:t>
        </w:r>
        <w:r w:rsidR="007B6F7E" w:rsidRPr="00611AF2">
          <w:rPr>
            <w:spacing w:val="-3"/>
            <w:sz w:val="24"/>
            <w:szCs w:val="24"/>
          </w:rPr>
          <w:t xml:space="preserve"> </w:t>
        </w:r>
      </w:hyperlink>
      <w:r w:rsidR="007B6F7E" w:rsidRPr="00611AF2">
        <w:rPr>
          <w:sz w:val="24"/>
          <w:szCs w:val="24"/>
        </w:rPr>
        <w:t>calcium</w:t>
      </w:r>
      <w:r w:rsidR="007B6F7E" w:rsidRPr="00611AF2">
        <w:rPr>
          <w:spacing w:val="-1"/>
          <w:sz w:val="24"/>
          <w:szCs w:val="24"/>
        </w:rPr>
        <w:t xml:space="preserve"> </w:t>
      </w:r>
      <w:r w:rsidR="007B6F7E" w:rsidRPr="00611AF2">
        <w:rPr>
          <w:sz w:val="24"/>
          <w:szCs w:val="24"/>
        </w:rPr>
        <w:t xml:space="preserve">and </w:t>
      </w:r>
      <w:hyperlink r:id="rId33">
        <w:r w:rsidR="007B6F7E" w:rsidRPr="00611AF2">
          <w:rPr>
            <w:sz w:val="24"/>
            <w:szCs w:val="24"/>
          </w:rPr>
          <w:t>rare</w:t>
        </w:r>
        <w:r w:rsidR="007B6F7E" w:rsidRPr="00611AF2">
          <w:rPr>
            <w:spacing w:val="-1"/>
            <w:sz w:val="24"/>
            <w:szCs w:val="24"/>
          </w:rPr>
          <w:t xml:space="preserve"> </w:t>
        </w:r>
        <w:r w:rsidR="007B6F7E" w:rsidRPr="00611AF2">
          <w:rPr>
            <w:sz w:val="24"/>
            <w:szCs w:val="24"/>
          </w:rPr>
          <w:t>earths</w:t>
        </w:r>
      </w:hyperlink>
    </w:p>
    <w:p w14:paraId="76D06BF0" w14:textId="77777777" w:rsidR="007B6F7E" w:rsidRPr="00611AF2" w:rsidRDefault="00000000" w:rsidP="007B6F7E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34">
        <w:r w:rsidR="007B6F7E" w:rsidRPr="00611AF2">
          <w:rPr>
            <w:rFonts w:ascii="Times New Roman" w:hAnsi="Times New Roman" w:cs="Times New Roman"/>
            <w:sz w:val="24"/>
            <w:szCs w:val="24"/>
          </w:rPr>
          <w:t>Xylenol</w:t>
        </w:r>
        <w:r w:rsidR="007B6F7E" w:rsidRPr="00611AF2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7B6F7E" w:rsidRPr="00611AF2">
          <w:rPr>
            <w:rFonts w:ascii="Times New Roman" w:hAnsi="Times New Roman" w:cs="Times New Roman"/>
            <w:sz w:val="24"/>
            <w:szCs w:val="24"/>
          </w:rPr>
          <w:t>orange</w:t>
        </w:r>
        <w:r w:rsidR="007B6F7E" w:rsidRPr="00611AF2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</w:hyperlink>
      <w:r w:rsidR="007B6F7E" w:rsidRPr="00611AF2">
        <w:rPr>
          <w:rFonts w:ascii="Times New Roman" w:hAnsi="Times New Roman" w:cs="Times New Roman"/>
          <w:sz w:val="24"/>
          <w:szCs w:val="24"/>
        </w:rPr>
        <w:t>for</w:t>
      </w:r>
      <w:r w:rsidR="007B6F7E" w:rsidRPr="0061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35">
        <w:r w:rsidR="007B6F7E" w:rsidRPr="00611AF2">
          <w:rPr>
            <w:rFonts w:ascii="Times New Roman" w:hAnsi="Times New Roman" w:cs="Times New Roman"/>
            <w:sz w:val="24"/>
            <w:szCs w:val="24"/>
          </w:rPr>
          <w:t>gallium</w:t>
        </w:r>
      </w:hyperlink>
      <w:r w:rsidR="007B6F7E" w:rsidRPr="00611AF2">
        <w:rPr>
          <w:rFonts w:ascii="Times New Roman" w:hAnsi="Times New Roman" w:cs="Times New Roman"/>
          <w:sz w:val="24"/>
          <w:szCs w:val="24"/>
        </w:rPr>
        <w:t>,</w:t>
      </w:r>
      <w:r w:rsidR="007B6F7E" w:rsidRPr="00611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36">
        <w:r w:rsidR="007B6F7E" w:rsidRPr="00611AF2">
          <w:rPr>
            <w:rFonts w:ascii="Times New Roman" w:hAnsi="Times New Roman" w:cs="Times New Roman"/>
            <w:sz w:val="24"/>
            <w:szCs w:val="24"/>
          </w:rPr>
          <w:t>indium</w:t>
        </w:r>
        <w:r w:rsidR="007B6F7E" w:rsidRPr="00611AF2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</w:hyperlink>
      <w:r w:rsidR="007B6F7E" w:rsidRPr="00611AF2">
        <w:rPr>
          <w:rFonts w:ascii="Times New Roman" w:hAnsi="Times New Roman" w:cs="Times New Roman"/>
          <w:sz w:val="24"/>
          <w:szCs w:val="24"/>
        </w:rPr>
        <w:t>and</w:t>
      </w:r>
      <w:r w:rsidR="007B6F7E" w:rsidRPr="00611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37">
        <w:r w:rsidR="007B6F7E" w:rsidRPr="00611AF2">
          <w:rPr>
            <w:rFonts w:ascii="Times New Roman" w:hAnsi="Times New Roman" w:cs="Times New Roman"/>
            <w:sz w:val="24"/>
            <w:szCs w:val="24"/>
          </w:rPr>
          <w:t>scandium</w:t>
        </w:r>
      </w:hyperlink>
    </w:p>
    <w:p w14:paraId="6F0C48E7" w14:textId="77777777"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4555B33D" w14:textId="01755033" w:rsidR="00D43D7E" w:rsidRDefault="00611AF2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Very </w:t>
      </w: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2689D4E6" w14:textId="4258966C" w:rsidR="00611AF2" w:rsidRDefault="00611AF2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1.What are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indicators</w:t>
      </w:r>
    </w:p>
    <w:p w14:paraId="62809FB2" w14:textId="65C2D73E" w:rsidR="00611AF2" w:rsidRDefault="00611AF2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64DA3172" w14:textId="0827685B" w:rsidR="00611AF2" w:rsidRDefault="00611AF2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1.Write in briefly on indicators used in complexometric titrations.</w:t>
      </w:r>
    </w:p>
    <w:p w14:paraId="76067EB8" w14:textId="63AD4E4D" w:rsidR="00611AF2" w:rsidRDefault="00611AF2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2.Explain the role of pH in complexometric titrations.</w:t>
      </w:r>
    </w:p>
    <w:p w14:paraId="45383A98" w14:textId="77777777" w:rsidR="00611AF2" w:rsidRDefault="00611AF2" w:rsidP="00D43D7E">
      <w:pPr>
        <w:rPr>
          <w:rFonts w:ascii="Times New Roman" w:hAnsi="Times New Roman" w:cs="Times New Roman"/>
          <w:sz w:val="24"/>
          <w:szCs w:val="24"/>
        </w:rPr>
      </w:pPr>
    </w:p>
    <w:p w14:paraId="03CA059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845A1A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256C90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669D64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54EFE8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287172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38FD6B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02BD52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C9D5AB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BADE9A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9E8CCCF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305FCAF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7BBBD7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8602351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B37D75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84CA9E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01FBEF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CEDE9B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E2BDF1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41AEF8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8646E2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FE2B305" w14:textId="77777777"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6FAB363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4AC0BE72" w14:textId="77777777"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38"/>
      <w:headerReference w:type="default" r:id="rId39"/>
      <w:footerReference w:type="default" r:id="rId40"/>
      <w:headerReference w:type="first" r:id="rId4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4C6FF" w14:textId="77777777" w:rsidR="009666A4" w:rsidRDefault="009666A4" w:rsidP="00DB570F">
      <w:pPr>
        <w:spacing w:after="0" w:line="240" w:lineRule="auto"/>
      </w:pPr>
      <w:r>
        <w:separator/>
      </w:r>
    </w:p>
  </w:endnote>
  <w:endnote w:type="continuationSeparator" w:id="0">
    <w:p w14:paraId="1207F569" w14:textId="77777777" w:rsidR="009666A4" w:rsidRDefault="009666A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B7384" w14:textId="77777777" w:rsidR="0050689C" w:rsidRDefault="0050689C">
    <w:pPr>
      <w:pStyle w:val="Footer"/>
    </w:pPr>
  </w:p>
  <w:p w14:paraId="4B1B5D1A" w14:textId="77777777" w:rsidR="0050689C" w:rsidRDefault="0050689C">
    <w:pPr>
      <w:pStyle w:val="Footer"/>
    </w:pPr>
  </w:p>
  <w:p w14:paraId="73CF9997" w14:textId="77777777" w:rsidR="0050689C" w:rsidRDefault="0050689C">
    <w:pPr>
      <w:pStyle w:val="Footer"/>
    </w:pPr>
  </w:p>
  <w:p w14:paraId="7E442C50" w14:textId="77777777" w:rsidR="00F0040D" w:rsidRDefault="00F0040D">
    <w:pPr>
      <w:pStyle w:val="Footer"/>
      <w:rPr>
        <w:sz w:val="16"/>
      </w:rPr>
    </w:pPr>
  </w:p>
  <w:p w14:paraId="18650003" w14:textId="77777777" w:rsidR="00F0040D" w:rsidRDefault="00F0040D">
    <w:pPr>
      <w:pStyle w:val="Footer"/>
      <w:rPr>
        <w:sz w:val="16"/>
      </w:rPr>
    </w:pPr>
  </w:p>
  <w:p w14:paraId="75BE2BCF" w14:textId="59AB6451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7B6F7E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7B6F7E">
      <w:rPr>
        <w:rFonts w:ascii="Times New Roman" w:hAnsi="Times New Roman" w:cs="Times New Roman"/>
        <w:sz w:val="16"/>
      </w:rPr>
      <w:t>1</w:t>
    </w:r>
    <w:proofErr w:type="gramStart"/>
    <w:r w:rsidR="007B6F7E" w:rsidRPr="007B6F7E">
      <w:rPr>
        <w:rFonts w:ascii="Times New Roman" w:hAnsi="Times New Roman" w:cs="Times New Roman"/>
        <w:sz w:val="16"/>
        <w:vertAlign w:val="superscript"/>
      </w:rPr>
      <w:t>ST</w:t>
    </w:r>
    <w:r w:rsidR="007B6F7E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6D0CF6">
      <w:rPr>
        <w:rFonts w:ascii="Times New Roman" w:hAnsi="Times New Roman" w:cs="Times New Roman"/>
        <w:sz w:val="16"/>
      </w:rPr>
      <w:t>K.BALAKRISHNA</w:t>
    </w:r>
  </w:p>
  <w:p w14:paraId="1BA3914C" w14:textId="77777777" w:rsidR="0050689C" w:rsidRPr="00F0040D" w:rsidRDefault="0050689C">
    <w:pPr>
      <w:pStyle w:val="Footer"/>
      <w:rPr>
        <w:sz w:val="16"/>
      </w:rPr>
    </w:pPr>
  </w:p>
  <w:p w14:paraId="6D09D611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C9C57" w14:textId="77777777" w:rsidR="009666A4" w:rsidRDefault="009666A4" w:rsidP="00DB570F">
      <w:pPr>
        <w:spacing w:after="0" w:line="240" w:lineRule="auto"/>
      </w:pPr>
      <w:r>
        <w:separator/>
      </w:r>
    </w:p>
  </w:footnote>
  <w:footnote w:type="continuationSeparator" w:id="0">
    <w:p w14:paraId="6EDFAEB4" w14:textId="77777777" w:rsidR="009666A4" w:rsidRDefault="009666A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F88DD" w14:textId="77777777" w:rsidR="00C603C6" w:rsidRDefault="00000000">
    <w:pPr>
      <w:pStyle w:val="Header"/>
    </w:pPr>
    <w:r>
      <w:rPr>
        <w:noProof/>
      </w:rPr>
      <w:pict w14:anchorId="3ED1FF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656016" o:spid="_x0000_s1026" type="#_x0000_t136" style="position:absolute;margin-left:0;margin-top:0;width:395.9pt;height:263.9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B8619BF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96A60E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193CE2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656017" o:spid="_x0000_s1027" type="#_x0000_t136" style="position:absolute;left:0;text-align:left;margin-left:0;margin-top:0;width:395.9pt;height:263.9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1060E" w14:textId="77777777" w:rsidR="00C603C6" w:rsidRDefault="00000000">
    <w:pPr>
      <w:pStyle w:val="Header"/>
    </w:pPr>
    <w:r>
      <w:rPr>
        <w:noProof/>
      </w:rPr>
      <w:pict w14:anchorId="4FBEB0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656015" o:spid="_x0000_s1025" type="#_x0000_t136" style="position:absolute;margin-left:0;margin-top:0;width:395.9pt;height:263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576"/>
    <w:multiLevelType w:val="hybridMultilevel"/>
    <w:tmpl w:val="4F421B74"/>
    <w:lvl w:ilvl="0" w:tplc="84761E44">
      <w:numFmt w:val="bullet"/>
      <w:lvlText w:val=""/>
      <w:lvlJc w:val="left"/>
      <w:pPr>
        <w:ind w:left="604" w:hanging="696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1707F84">
      <w:numFmt w:val="bullet"/>
      <w:lvlText w:val="•"/>
      <w:lvlJc w:val="left"/>
      <w:pPr>
        <w:ind w:left="1530" w:hanging="696"/>
      </w:pPr>
      <w:rPr>
        <w:rFonts w:hint="default"/>
        <w:lang w:val="en-US" w:eastAsia="en-US" w:bidi="ar-SA"/>
      </w:rPr>
    </w:lvl>
    <w:lvl w:ilvl="2" w:tplc="631463EC">
      <w:numFmt w:val="bullet"/>
      <w:lvlText w:val="•"/>
      <w:lvlJc w:val="left"/>
      <w:pPr>
        <w:ind w:left="2460" w:hanging="696"/>
      </w:pPr>
      <w:rPr>
        <w:rFonts w:hint="default"/>
        <w:lang w:val="en-US" w:eastAsia="en-US" w:bidi="ar-SA"/>
      </w:rPr>
    </w:lvl>
    <w:lvl w:ilvl="3" w:tplc="CC2A1760">
      <w:numFmt w:val="bullet"/>
      <w:lvlText w:val="•"/>
      <w:lvlJc w:val="left"/>
      <w:pPr>
        <w:ind w:left="3390" w:hanging="696"/>
      </w:pPr>
      <w:rPr>
        <w:rFonts w:hint="default"/>
        <w:lang w:val="en-US" w:eastAsia="en-US" w:bidi="ar-SA"/>
      </w:rPr>
    </w:lvl>
    <w:lvl w:ilvl="4" w:tplc="2B3AAE74">
      <w:numFmt w:val="bullet"/>
      <w:lvlText w:val="•"/>
      <w:lvlJc w:val="left"/>
      <w:pPr>
        <w:ind w:left="4320" w:hanging="696"/>
      </w:pPr>
      <w:rPr>
        <w:rFonts w:hint="default"/>
        <w:lang w:val="en-US" w:eastAsia="en-US" w:bidi="ar-SA"/>
      </w:rPr>
    </w:lvl>
    <w:lvl w:ilvl="5" w:tplc="0EE6E45E">
      <w:numFmt w:val="bullet"/>
      <w:lvlText w:val="•"/>
      <w:lvlJc w:val="left"/>
      <w:pPr>
        <w:ind w:left="5250" w:hanging="696"/>
      </w:pPr>
      <w:rPr>
        <w:rFonts w:hint="default"/>
        <w:lang w:val="en-US" w:eastAsia="en-US" w:bidi="ar-SA"/>
      </w:rPr>
    </w:lvl>
    <w:lvl w:ilvl="6" w:tplc="9FF4E974">
      <w:numFmt w:val="bullet"/>
      <w:lvlText w:val="•"/>
      <w:lvlJc w:val="left"/>
      <w:pPr>
        <w:ind w:left="6180" w:hanging="696"/>
      </w:pPr>
      <w:rPr>
        <w:rFonts w:hint="default"/>
        <w:lang w:val="en-US" w:eastAsia="en-US" w:bidi="ar-SA"/>
      </w:rPr>
    </w:lvl>
    <w:lvl w:ilvl="7" w:tplc="9A788B08">
      <w:numFmt w:val="bullet"/>
      <w:lvlText w:val="•"/>
      <w:lvlJc w:val="left"/>
      <w:pPr>
        <w:ind w:left="7110" w:hanging="696"/>
      </w:pPr>
      <w:rPr>
        <w:rFonts w:hint="default"/>
        <w:lang w:val="en-US" w:eastAsia="en-US" w:bidi="ar-SA"/>
      </w:rPr>
    </w:lvl>
    <w:lvl w:ilvl="8" w:tplc="16F0439C">
      <w:numFmt w:val="bullet"/>
      <w:lvlText w:val="•"/>
      <w:lvlJc w:val="left"/>
      <w:pPr>
        <w:ind w:left="8040" w:hanging="696"/>
      </w:pPr>
      <w:rPr>
        <w:rFonts w:hint="default"/>
        <w:lang w:val="en-US" w:eastAsia="en-US" w:bidi="ar-SA"/>
      </w:rPr>
    </w:lvl>
  </w:abstractNum>
  <w:abstractNum w:abstractNumId="1" w15:restartNumberingAfterBreak="0">
    <w:nsid w:val="75F21A7C"/>
    <w:multiLevelType w:val="hybridMultilevel"/>
    <w:tmpl w:val="85DA624A"/>
    <w:lvl w:ilvl="0" w:tplc="4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304385238">
    <w:abstractNumId w:val="0"/>
  </w:num>
  <w:num w:numId="2" w16cid:durableId="1923174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93E38"/>
    <w:rsid w:val="00273368"/>
    <w:rsid w:val="002C0628"/>
    <w:rsid w:val="00377796"/>
    <w:rsid w:val="00491A34"/>
    <w:rsid w:val="004C37A3"/>
    <w:rsid w:val="0050689C"/>
    <w:rsid w:val="00517FE9"/>
    <w:rsid w:val="00541D2F"/>
    <w:rsid w:val="00610928"/>
    <w:rsid w:val="00611AF2"/>
    <w:rsid w:val="00657CCB"/>
    <w:rsid w:val="006D0CF6"/>
    <w:rsid w:val="007300CE"/>
    <w:rsid w:val="00751766"/>
    <w:rsid w:val="00767F40"/>
    <w:rsid w:val="007B6F7E"/>
    <w:rsid w:val="008D61C5"/>
    <w:rsid w:val="008E5520"/>
    <w:rsid w:val="008F2DB3"/>
    <w:rsid w:val="009517CE"/>
    <w:rsid w:val="009666A4"/>
    <w:rsid w:val="00997E8F"/>
    <w:rsid w:val="009A76D7"/>
    <w:rsid w:val="00A37C51"/>
    <w:rsid w:val="00AF052D"/>
    <w:rsid w:val="00B9514D"/>
    <w:rsid w:val="00BA3D19"/>
    <w:rsid w:val="00BC37A9"/>
    <w:rsid w:val="00C30118"/>
    <w:rsid w:val="00C3320D"/>
    <w:rsid w:val="00C603C6"/>
    <w:rsid w:val="00D43D7E"/>
    <w:rsid w:val="00DA1A81"/>
    <w:rsid w:val="00DA5AE4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12F5D"/>
  <w15:docId w15:val="{373FE6CD-83C8-4E4B-B349-EF372A22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7B6F7E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1Char">
    <w:name w:val="Heading 1 Char"/>
    <w:basedOn w:val="DefaultParagraphFont"/>
    <w:link w:val="Heading1"/>
    <w:uiPriority w:val="9"/>
    <w:rsid w:val="007B6F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B6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B6F7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B6F7E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Chelating_agent" TargetMode="External"/><Relationship Id="rId18" Type="http://schemas.openxmlformats.org/officeDocument/2006/relationships/hyperlink" Target="https://en.wikipedia.org/wiki/Ethylenediaminetetraacetic_acid" TargetMode="External"/><Relationship Id="rId26" Type="http://schemas.openxmlformats.org/officeDocument/2006/relationships/hyperlink" Target="https://en.wikipedia.org/wiki/Magnesium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en.wikipedia.org/wiki/Rosocyanine" TargetMode="External"/><Relationship Id="rId34" Type="http://schemas.openxmlformats.org/officeDocument/2006/relationships/hyperlink" Target="https://en.wikipedia.org/wiki/Xylenol_orange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n.wikipedia.org/wiki/Ionochromis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Ethylenediaminetetraacetic_acid" TargetMode="External"/><Relationship Id="rId20" Type="http://schemas.openxmlformats.org/officeDocument/2006/relationships/hyperlink" Target="https://en.wikipedia.org/wiki/Boron" TargetMode="External"/><Relationship Id="rId29" Type="http://schemas.openxmlformats.org/officeDocument/2006/relationships/hyperlink" Target="https://en.wikipedia.org/wiki/Copper" TargetMode="External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Analytical_chemistry" TargetMode="External"/><Relationship Id="rId24" Type="http://schemas.openxmlformats.org/officeDocument/2006/relationships/hyperlink" Target="https://en.wikipedia.org/wiki/Cadmium" TargetMode="External"/><Relationship Id="rId32" Type="http://schemas.openxmlformats.org/officeDocument/2006/relationships/hyperlink" Target="https://en.wikipedia.org/wiki/Murexide" TargetMode="External"/><Relationship Id="rId37" Type="http://schemas.openxmlformats.org/officeDocument/2006/relationships/hyperlink" Target="https://en.wikipedia.org/wiki/Scandium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Calcein" TargetMode="External"/><Relationship Id="rId23" Type="http://schemas.openxmlformats.org/officeDocument/2006/relationships/hyperlink" Target="https://en.wikipedia.org/wiki/Aluminium" TargetMode="External"/><Relationship Id="rId28" Type="http://schemas.openxmlformats.org/officeDocument/2006/relationships/hyperlink" Target="https://en.wikipedia.org/wiki/Ethylenediaminetetraacetic_acid" TargetMode="External"/><Relationship Id="rId36" Type="http://schemas.openxmlformats.org/officeDocument/2006/relationships/hyperlink" Target="https://en.wikipedia.org/wiki/Indium" TargetMode="External"/><Relationship Id="rId10" Type="http://schemas.openxmlformats.org/officeDocument/2006/relationships/hyperlink" Target="https://en.wikipedia.org/wiki/Complex_(chemistry)" TargetMode="External"/><Relationship Id="rId19" Type="http://schemas.openxmlformats.org/officeDocument/2006/relationships/hyperlink" Target="https://en.wikipedia.org/wiki/Curcumin" TargetMode="External"/><Relationship Id="rId31" Type="http://schemas.openxmlformats.org/officeDocument/2006/relationships/hyperlink" Target="https://en.wikipedia.org/wiki/Copp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Ion" TargetMode="External"/><Relationship Id="rId14" Type="http://schemas.openxmlformats.org/officeDocument/2006/relationships/hyperlink" Target="https://en.wikipedia.org/wiki/EDTA" TargetMode="External"/><Relationship Id="rId22" Type="http://schemas.openxmlformats.org/officeDocument/2006/relationships/hyperlink" Target="https://en.wikipedia.org/wiki/Eriochrome_Black_T" TargetMode="External"/><Relationship Id="rId27" Type="http://schemas.openxmlformats.org/officeDocument/2006/relationships/hyperlink" Target="https://en.wikipedia.org/wiki/Fast_Sulphon_Black" TargetMode="External"/><Relationship Id="rId30" Type="http://schemas.openxmlformats.org/officeDocument/2006/relationships/hyperlink" Target="https://en.wikipedia.org/wiki/Hematoxylin" TargetMode="External"/><Relationship Id="rId35" Type="http://schemas.openxmlformats.org/officeDocument/2006/relationships/hyperlink" Target="https://en.wikipedia.org/wiki/Gallium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en.wikipedia.org/wiki/Dy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Complexometric_titration" TargetMode="External"/><Relationship Id="rId17" Type="http://schemas.openxmlformats.org/officeDocument/2006/relationships/hyperlink" Target="https://en.wikipedia.org/wiki/Patton-Reeder_Indicator" TargetMode="External"/><Relationship Id="rId25" Type="http://schemas.openxmlformats.org/officeDocument/2006/relationships/hyperlink" Target="https://en.wikipedia.org/wiki/Calcium" TargetMode="External"/><Relationship Id="rId33" Type="http://schemas.openxmlformats.org/officeDocument/2006/relationships/hyperlink" Target="https://en.wikipedia.org/wiki/Rare_earths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7</cp:revision>
  <cp:lastPrinted>2024-05-22T07:36:00Z</cp:lastPrinted>
  <dcterms:created xsi:type="dcterms:W3CDTF">2024-05-22T07:39:00Z</dcterms:created>
  <dcterms:modified xsi:type="dcterms:W3CDTF">2024-06-08T10:02:00Z</dcterms:modified>
</cp:coreProperties>
</file>