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E94CF" w14:textId="684F4172" w:rsidR="00425555" w:rsidRPr="00DB570F" w:rsidRDefault="003A56F2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670F7CF9" w14:textId="77777777" w:rsidR="00DB570F" w:rsidRDefault="00DB570F"/>
    <w:p w14:paraId="583A4A00" w14:textId="754C807A" w:rsidR="003A56F2" w:rsidRPr="00DA1A81" w:rsidRDefault="00DA1A81" w:rsidP="003A56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 w:rsidR="003A56F2">
        <w:rPr>
          <w:rFonts w:ascii="Times New Roman" w:hAnsi="Times New Roman" w:cs="Times New Roman"/>
          <w:sz w:val="24"/>
          <w:szCs w:val="24"/>
        </w:rPr>
        <w:t xml:space="preserve"> II </w:t>
      </w:r>
      <w:r w:rsidR="00BA40CB">
        <w:rPr>
          <w:rFonts w:ascii="Times New Roman" w:hAnsi="Times New Roman" w:cs="Times New Roman"/>
          <w:sz w:val="24"/>
          <w:szCs w:val="24"/>
        </w:rPr>
        <w:t xml:space="preserve"> </w:t>
      </w:r>
      <w:r w:rsidR="003A56F2">
        <w:rPr>
          <w:rFonts w:ascii="Times New Roman" w:hAnsi="Times New Roman" w:cs="Times New Roman"/>
          <w:sz w:val="24"/>
          <w:szCs w:val="24"/>
        </w:rPr>
        <w:t>ACID-BASE TITRATIONS AND NON-AQUEOUS TITRATIONS</w:t>
      </w:r>
    </w:p>
    <w:p w14:paraId="4F35D145" w14:textId="467ADF8E" w:rsidR="00DB570F" w:rsidRPr="00DA1A81" w:rsidRDefault="00DA1A81" w:rsidP="00DA1A8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3DC6106A" w14:textId="45368266" w:rsidR="00997E8F" w:rsidRDefault="00DB570F" w:rsidP="00997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C238FF">
        <w:rPr>
          <w:rFonts w:ascii="Times New Roman" w:hAnsi="Times New Roman" w:cs="Times New Roman"/>
          <w:sz w:val="24"/>
          <w:szCs w:val="24"/>
        </w:rPr>
        <w:t>1</w:t>
      </w:r>
    </w:p>
    <w:p w14:paraId="5FD6C5C2" w14:textId="07D69E17" w:rsidR="00D43D7E" w:rsidRPr="00AF052D" w:rsidRDefault="00DA1A81" w:rsidP="003A56F2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3A56F2" w:rsidRPr="003A56F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ACID-BASE T</w:t>
      </w:r>
      <w:r w:rsidR="003A56F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ITRATION</w:t>
      </w:r>
    </w:p>
    <w:p w14:paraId="27242004" w14:textId="77777777" w:rsidR="003A56F2" w:rsidRDefault="003A56F2" w:rsidP="003A56F2">
      <w:pPr>
        <w:pStyle w:val="BodyText"/>
        <w:spacing w:line="360" w:lineRule="auto"/>
        <w:ind w:left="220"/>
        <w:rPr>
          <w:b/>
        </w:rPr>
      </w:pPr>
      <w:r>
        <w:rPr>
          <w:b/>
        </w:rPr>
        <w:t>ACID-BASE TITRATION:</w:t>
      </w:r>
    </w:p>
    <w:p w14:paraId="2FED0834" w14:textId="77777777" w:rsidR="003A56F2" w:rsidRDefault="003A56F2" w:rsidP="003A56F2">
      <w:pPr>
        <w:pStyle w:val="BodyText"/>
        <w:spacing w:line="360" w:lineRule="auto"/>
        <w:ind w:left="220"/>
        <w:rPr>
          <w:bCs/>
        </w:rPr>
      </w:pPr>
      <w:r>
        <w:rPr>
          <w:bCs/>
        </w:rPr>
        <w:t>It is mainly based upon neutralization reaction between acid and base is called neutralization titration.</w:t>
      </w:r>
    </w:p>
    <w:p w14:paraId="3360890F" w14:textId="77777777" w:rsidR="003A56F2" w:rsidRDefault="003A56F2" w:rsidP="003A56F2">
      <w:pPr>
        <w:pStyle w:val="BodyText"/>
        <w:spacing w:line="360" w:lineRule="auto"/>
        <w:ind w:left="220"/>
        <w:rPr>
          <w:bCs/>
        </w:rPr>
      </w:pPr>
      <w:r>
        <w:rPr>
          <w:bCs/>
        </w:rPr>
        <w:t>In acid-base titrations, standard solutions having known concentration of acid is titrated against unknown concentration of base and vice-versa.</w:t>
      </w:r>
    </w:p>
    <w:p w14:paraId="1976D9F2" w14:textId="77777777" w:rsidR="003A56F2" w:rsidRDefault="003A56F2" w:rsidP="003A56F2">
      <w:pPr>
        <w:pStyle w:val="BodyText"/>
        <w:spacing w:line="360" w:lineRule="auto"/>
        <w:ind w:left="220"/>
        <w:rPr>
          <w:bCs/>
        </w:rPr>
      </w:pPr>
    </w:p>
    <w:p w14:paraId="7F93D60D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 w:rsidRPr="00C37E25">
        <w:rPr>
          <w:b/>
        </w:rPr>
        <w:t>Titration</w:t>
      </w:r>
      <w:r w:rsidRPr="00C37E25">
        <w:t>:</w:t>
      </w:r>
      <w:r w:rsidRPr="00C37E25">
        <w:rPr>
          <w:spacing w:val="-4"/>
        </w:rPr>
        <w:t xml:space="preserve"> </w:t>
      </w:r>
    </w:p>
    <w:p w14:paraId="6587B951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>
        <w:rPr>
          <w:spacing w:val="-4"/>
        </w:rPr>
        <w:t>It is a process where solution of known concentration is used to determine concentration of an unknown concentration.</w:t>
      </w:r>
    </w:p>
    <w:p w14:paraId="22DD375D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 w:rsidRPr="007F4310">
        <w:rPr>
          <w:bCs/>
        </w:rPr>
        <w:t xml:space="preserve">During titration, titrant (Known solution) is added from burette to </w:t>
      </w:r>
      <w:proofErr w:type="spellStart"/>
      <w:r w:rsidRPr="007F4310">
        <w:rPr>
          <w:bCs/>
        </w:rPr>
        <w:t>titrand</w:t>
      </w:r>
      <w:proofErr w:type="spellEnd"/>
      <w:r w:rsidRPr="007F4310">
        <w:rPr>
          <w:bCs/>
        </w:rPr>
        <w:t xml:space="preserve"> (unknown solution) </w:t>
      </w:r>
      <w:proofErr w:type="spellStart"/>
      <w:r w:rsidRPr="007F4310">
        <w:rPr>
          <w:bCs/>
        </w:rPr>
        <w:t>i</w:t>
      </w:r>
      <w:r w:rsidRPr="007F4310">
        <w:rPr>
          <w:spacing w:val="-4"/>
        </w:rPr>
        <w:t>.</w:t>
      </w:r>
      <w:r>
        <w:rPr>
          <w:spacing w:val="-4"/>
        </w:rPr>
        <w:t>e</w:t>
      </w:r>
      <w:proofErr w:type="spellEnd"/>
      <w:r>
        <w:rPr>
          <w:spacing w:val="-4"/>
        </w:rPr>
        <w:t xml:space="preserve"> till end point (occurs by indicator)</w:t>
      </w:r>
    </w:p>
    <w:p w14:paraId="1BA1A395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>
        <w:rPr>
          <w:spacing w:val="-4"/>
        </w:rPr>
        <w:t>Titrant: A solution with known concentration which is taken in burette.</w:t>
      </w:r>
    </w:p>
    <w:p w14:paraId="230D58D5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proofErr w:type="spellStart"/>
      <w:r>
        <w:rPr>
          <w:spacing w:val="-4"/>
        </w:rPr>
        <w:t>Titrand</w:t>
      </w:r>
      <w:proofErr w:type="spellEnd"/>
      <w:r>
        <w:rPr>
          <w:spacing w:val="-4"/>
        </w:rPr>
        <w:t>: A solution with unknown concentration which is taken in conical flask.</w:t>
      </w:r>
    </w:p>
    <w:p w14:paraId="5215A4B7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>
        <w:rPr>
          <w:spacing w:val="-4"/>
        </w:rPr>
        <w:t xml:space="preserve">Indicator: A substance which is added in </w:t>
      </w:r>
      <w:proofErr w:type="spellStart"/>
      <w:r>
        <w:rPr>
          <w:spacing w:val="-4"/>
        </w:rPr>
        <w:t>titrand</w:t>
      </w:r>
      <w:proofErr w:type="spellEnd"/>
      <w:r>
        <w:rPr>
          <w:spacing w:val="-4"/>
        </w:rPr>
        <w:t xml:space="preserve"> for identifying end point.</w:t>
      </w:r>
    </w:p>
    <w:p w14:paraId="235CE94F" w14:textId="71F7900D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>
        <w:rPr>
          <w:spacing w:val="-4"/>
        </w:rPr>
        <w:t xml:space="preserve">Equivalent point: when moles of </w:t>
      </w:r>
      <w:proofErr w:type="spellStart"/>
      <w:r>
        <w:rPr>
          <w:spacing w:val="-4"/>
        </w:rPr>
        <w:t>titrand</w:t>
      </w:r>
      <w:proofErr w:type="spellEnd"/>
      <w:r>
        <w:rPr>
          <w:spacing w:val="-4"/>
        </w:rPr>
        <w:t xml:space="preserve"> or analyte is equal to moles of titrant</w:t>
      </w:r>
      <w:r w:rsidR="000D06D4">
        <w:rPr>
          <w:spacing w:val="-4"/>
        </w:rPr>
        <w:t xml:space="preserve"> </w:t>
      </w:r>
      <w:proofErr w:type="gramStart"/>
      <w:r>
        <w:rPr>
          <w:spacing w:val="-4"/>
        </w:rPr>
        <w:t xml:space="preserve">( </w:t>
      </w:r>
      <w:proofErr w:type="spellStart"/>
      <w:r>
        <w:rPr>
          <w:spacing w:val="-4"/>
        </w:rPr>
        <w:t>i.e</w:t>
      </w:r>
      <w:proofErr w:type="spellEnd"/>
      <w:proofErr w:type="gramEnd"/>
      <w:r>
        <w:rPr>
          <w:spacing w:val="-4"/>
        </w:rPr>
        <w:t xml:space="preserve"> Known concentration)</w:t>
      </w:r>
    </w:p>
    <w:p w14:paraId="3E6F3399" w14:textId="77777777" w:rsidR="003A56F2" w:rsidRDefault="003A56F2" w:rsidP="003A56F2">
      <w:pPr>
        <w:pStyle w:val="BodyText"/>
        <w:spacing w:line="360" w:lineRule="auto"/>
        <w:ind w:left="220"/>
        <w:rPr>
          <w:spacing w:val="-4"/>
        </w:rPr>
      </w:pPr>
      <w:r>
        <w:rPr>
          <w:spacing w:val="-4"/>
        </w:rPr>
        <w:t xml:space="preserve">End Point: Point which indicates that reaction is completed by changing the </w:t>
      </w:r>
      <w:proofErr w:type="spellStart"/>
      <w:r>
        <w:rPr>
          <w:spacing w:val="-4"/>
        </w:rPr>
        <w:t>colour</w:t>
      </w:r>
      <w:proofErr w:type="spellEnd"/>
      <w:r>
        <w:rPr>
          <w:spacing w:val="-4"/>
        </w:rPr>
        <w:t xml:space="preserve"> of solutions.</w:t>
      </w:r>
    </w:p>
    <w:p w14:paraId="4B1B3B64" w14:textId="77777777" w:rsidR="003A56F2" w:rsidRPr="00C37E25" w:rsidRDefault="003A56F2" w:rsidP="003A56F2">
      <w:pPr>
        <w:pStyle w:val="BodyText"/>
        <w:spacing w:line="360" w:lineRule="auto"/>
        <w:ind w:left="220"/>
      </w:pPr>
      <w:r w:rsidRPr="00C37E25">
        <w:t>it</w:t>
      </w:r>
      <w:r w:rsidRPr="00C37E25">
        <w:rPr>
          <w:spacing w:val="-1"/>
        </w:rPr>
        <w:t xml:space="preserve"> </w:t>
      </w:r>
      <w:r w:rsidRPr="00C37E25">
        <w:t>is</w:t>
      </w:r>
      <w:r w:rsidRPr="00C37E25">
        <w:rPr>
          <w:spacing w:val="-1"/>
        </w:rPr>
        <w:t xml:space="preserve"> </w:t>
      </w:r>
      <w:r w:rsidRPr="00C37E25">
        <w:t>defined</w:t>
      </w:r>
      <w:r w:rsidRPr="00C37E25">
        <w:rPr>
          <w:spacing w:val="1"/>
        </w:rPr>
        <w:t xml:space="preserve"> </w:t>
      </w:r>
      <w:r w:rsidRPr="00C37E25">
        <w:t>as</w:t>
      </w:r>
      <w:r w:rsidRPr="00C37E25">
        <w:rPr>
          <w:spacing w:val="-1"/>
        </w:rPr>
        <w:t xml:space="preserve"> </w:t>
      </w:r>
      <w:r w:rsidRPr="00C37E25">
        <w:t>adding</w:t>
      </w:r>
      <w:r w:rsidRPr="00C37E25">
        <w:rPr>
          <w:spacing w:val="-1"/>
        </w:rPr>
        <w:t xml:space="preserve"> </w:t>
      </w:r>
      <w:r w:rsidRPr="00C37E25">
        <w:t>of</w:t>
      </w:r>
      <w:r w:rsidRPr="00C37E25">
        <w:rPr>
          <w:spacing w:val="-3"/>
        </w:rPr>
        <w:t xml:space="preserve"> </w:t>
      </w:r>
      <w:r w:rsidRPr="00C37E25">
        <w:t>titrant</w:t>
      </w:r>
      <w:r w:rsidRPr="00C37E25">
        <w:rPr>
          <w:spacing w:val="-1"/>
        </w:rPr>
        <w:t xml:space="preserve"> </w:t>
      </w:r>
      <w:r w:rsidRPr="00C37E25">
        <w:t>to</w:t>
      </w:r>
      <w:r w:rsidRPr="00C37E25">
        <w:rPr>
          <w:spacing w:val="-1"/>
        </w:rPr>
        <w:t xml:space="preserve"> </w:t>
      </w:r>
      <w:proofErr w:type="spellStart"/>
      <w:r w:rsidRPr="00C37E25">
        <w:t>titrand</w:t>
      </w:r>
      <w:proofErr w:type="spellEnd"/>
    </w:p>
    <w:p w14:paraId="6EC237C1" w14:textId="77777777" w:rsidR="003A56F2" w:rsidRDefault="003A56F2" w:rsidP="003A56F2">
      <w:pPr>
        <w:pStyle w:val="BodyText"/>
        <w:spacing w:line="360" w:lineRule="auto"/>
        <w:ind w:left="220" w:right="404"/>
        <w:rPr>
          <w:b/>
        </w:rPr>
      </w:pPr>
      <w:r w:rsidRPr="00C37E25">
        <w:rPr>
          <w:b/>
        </w:rPr>
        <w:t xml:space="preserve">Non-aqueous titrations: </w:t>
      </w:r>
    </w:p>
    <w:p w14:paraId="2BE1CB72" w14:textId="77777777" w:rsidR="003A56F2" w:rsidRDefault="003A56F2" w:rsidP="003A56F2">
      <w:pPr>
        <w:pStyle w:val="BodyText"/>
        <w:spacing w:line="360" w:lineRule="auto"/>
        <w:ind w:left="220" w:right="404"/>
      </w:pPr>
      <w:r w:rsidRPr="00C37E25">
        <w:t>Most of the drugs or pharmaceuticals agents are weakly acidic or</w:t>
      </w:r>
      <w:r w:rsidRPr="00C37E25">
        <w:rPr>
          <w:spacing w:val="1"/>
        </w:rPr>
        <w:t xml:space="preserve"> </w:t>
      </w:r>
      <w:r w:rsidRPr="00C37E25">
        <w:t>weakly basic</w:t>
      </w:r>
      <w:r w:rsidRPr="00C37E25">
        <w:rPr>
          <w:spacing w:val="-2"/>
        </w:rPr>
        <w:t xml:space="preserve"> </w:t>
      </w:r>
      <w:r w:rsidRPr="00C37E25">
        <w:t>in</w:t>
      </w:r>
      <w:r w:rsidRPr="00C37E25">
        <w:rPr>
          <w:spacing w:val="-1"/>
        </w:rPr>
        <w:t xml:space="preserve"> </w:t>
      </w:r>
      <w:r w:rsidRPr="00C37E25">
        <w:t>nature.</w:t>
      </w:r>
    </w:p>
    <w:p w14:paraId="10469049" w14:textId="77777777" w:rsidR="003A56F2" w:rsidRDefault="003A56F2" w:rsidP="003A56F2">
      <w:pPr>
        <w:pStyle w:val="BodyText"/>
        <w:spacing w:line="360" w:lineRule="auto"/>
        <w:ind w:left="220" w:right="404"/>
      </w:pPr>
      <w:r w:rsidRPr="00C37E25">
        <w:t xml:space="preserve"> These</w:t>
      </w:r>
      <w:r w:rsidRPr="00C37E25">
        <w:rPr>
          <w:spacing w:val="-2"/>
        </w:rPr>
        <w:t xml:space="preserve"> </w:t>
      </w:r>
      <w:r w:rsidRPr="00C37E25">
        <w:t>substances should</w:t>
      </w:r>
      <w:r w:rsidRPr="00C37E25">
        <w:rPr>
          <w:spacing w:val="-1"/>
        </w:rPr>
        <w:t xml:space="preserve"> </w:t>
      </w:r>
      <w:r w:rsidRPr="00C37E25">
        <w:t>be</w:t>
      </w:r>
      <w:r w:rsidRPr="00C37E25">
        <w:rPr>
          <w:spacing w:val="-2"/>
        </w:rPr>
        <w:t xml:space="preserve"> </w:t>
      </w:r>
      <w:r w:rsidRPr="00C37E25">
        <w:t>titrated</w:t>
      </w:r>
      <w:r w:rsidRPr="00C37E25">
        <w:rPr>
          <w:spacing w:val="-1"/>
        </w:rPr>
        <w:t xml:space="preserve"> </w:t>
      </w:r>
      <w:r w:rsidRPr="00C37E25">
        <w:t>by</w:t>
      </w:r>
      <w:r w:rsidRPr="00C37E25">
        <w:rPr>
          <w:spacing w:val="-2"/>
        </w:rPr>
        <w:t xml:space="preserve"> </w:t>
      </w:r>
      <w:r w:rsidRPr="00C37E25">
        <w:t>using</w:t>
      </w:r>
      <w:r w:rsidRPr="00C37E25">
        <w:rPr>
          <w:spacing w:val="-1"/>
        </w:rPr>
        <w:t xml:space="preserve"> </w:t>
      </w:r>
      <w:r w:rsidRPr="00C37E25">
        <w:t>non-aqueous</w:t>
      </w:r>
      <w:r w:rsidRPr="00C37E25">
        <w:rPr>
          <w:spacing w:val="-1"/>
        </w:rPr>
        <w:t xml:space="preserve"> </w:t>
      </w:r>
      <w:r w:rsidRPr="00C37E25">
        <w:t>solvents</w:t>
      </w:r>
      <w:r w:rsidRPr="00C37E25">
        <w:rPr>
          <w:spacing w:val="-2"/>
        </w:rPr>
        <w:t xml:space="preserve"> </w:t>
      </w:r>
      <w:r w:rsidRPr="00C37E25">
        <w:t>to</w:t>
      </w:r>
      <w:r w:rsidRPr="00C37E25">
        <w:rPr>
          <w:spacing w:val="-1"/>
        </w:rPr>
        <w:t xml:space="preserve"> </w:t>
      </w:r>
      <w:r w:rsidRPr="00C37E25">
        <w:t>get</w:t>
      </w:r>
      <w:r w:rsidRPr="00C37E25">
        <w:rPr>
          <w:spacing w:val="-57"/>
        </w:rPr>
        <w:t xml:space="preserve"> </w:t>
      </w:r>
      <w:r w:rsidRPr="00C37E25">
        <w:t>sharp</w:t>
      </w:r>
      <w:r w:rsidRPr="00C37E25">
        <w:rPr>
          <w:spacing w:val="-1"/>
        </w:rPr>
        <w:t xml:space="preserve"> </w:t>
      </w:r>
      <w:r w:rsidRPr="00C37E25">
        <w:t>end</w:t>
      </w:r>
      <w:r w:rsidRPr="00C37E25">
        <w:rPr>
          <w:spacing w:val="2"/>
        </w:rPr>
        <w:t xml:space="preserve"> </w:t>
      </w:r>
      <w:r w:rsidRPr="00C37E25">
        <w:t>point.</w:t>
      </w:r>
      <w:r w:rsidRPr="00C37E25">
        <w:rPr>
          <w:spacing w:val="-3"/>
        </w:rPr>
        <w:t xml:space="preserve"> </w:t>
      </w:r>
      <w:r w:rsidRPr="00C37E25">
        <w:t>Most of</w:t>
      </w:r>
      <w:r w:rsidRPr="00C37E25">
        <w:rPr>
          <w:spacing w:val="-1"/>
        </w:rPr>
        <w:t xml:space="preserve"> </w:t>
      </w:r>
      <w:r w:rsidRPr="00C37E25">
        <w:t>the</w:t>
      </w:r>
      <w:r w:rsidRPr="00C37E25">
        <w:rPr>
          <w:spacing w:val="-1"/>
        </w:rPr>
        <w:t xml:space="preserve"> </w:t>
      </w:r>
      <w:r w:rsidRPr="00C37E25">
        <w:t>drugs</w:t>
      </w:r>
      <w:r w:rsidRPr="00C37E25">
        <w:rPr>
          <w:spacing w:val="2"/>
        </w:rPr>
        <w:t xml:space="preserve"> </w:t>
      </w:r>
      <w:r w:rsidRPr="00C37E25">
        <w:t>are truly</w:t>
      </w:r>
      <w:r w:rsidRPr="00C37E25">
        <w:rPr>
          <w:spacing w:val="-3"/>
        </w:rPr>
        <w:t xml:space="preserve"> </w:t>
      </w:r>
      <w:r w:rsidRPr="00C37E25">
        <w:t>soluble</w:t>
      </w:r>
      <w:r w:rsidRPr="00C37E25">
        <w:rPr>
          <w:spacing w:val="1"/>
        </w:rPr>
        <w:t xml:space="preserve"> </w:t>
      </w:r>
      <w:r w:rsidRPr="00C37E25">
        <w:t>in</w:t>
      </w:r>
      <w:r w:rsidRPr="00C37E25">
        <w:rPr>
          <w:spacing w:val="-3"/>
        </w:rPr>
        <w:t xml:space="preserve"> </w:t>
      </w:r>
      <w:r w:rsidRPr="00C37E25">
        <w:t>water.</w:t>
      </w:r>
    </w:p>
    <w:p w14:paraId="7E19F903" w14:textId="77777777" w:rsidR="003A56F2" w:rsidRDefault="003A56F2" w:rsidP="003A56F2">
      <w:pPr>
        <w:spacing w:line="360" w:lineRule="auto"/>
      </w:pPr>
    </w:p>
    <w:p w14:paraId="4D6D7E5D" w14:textId="77777777" w:rsidR="00D43D7E" w:rsidRPr="0055019C" w:rsidRDefault="00D43D7E" w:rsidP="00D43D7E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C959C49" w14:textId="55DAF0FA" w:rsidR="00D43D7E" w:rsidRPr="0029626A" w:rsidRDefault="00BA40CB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26A">
        <w:rPr>
          <w:rFonts w:ascii="Times New Roman" w:hAnsi="Times New Roman" w:cs="Times New Roman"/>
          <w:b/>
          <w:bCs/>
          <w:sz w:val="24"/>
          <w:szCs w:val="24"/>
        </w:rPr>
        <w:t>Very Short Answer Questions:</w:t>
      </w:r>
    </w:p>
    <w:p w14:paraId="0FCE2BCB" w14:textId="5215DAC6" w:rsidR="00BA40CB" w:rsidRDefault="00BA40CB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1.Define Acid and Base give examples</w:t>
      </w:r>
    </w:p>
    <w:p w14:paraId="04411492" w14:textId="48826782" w:rsidR="00BA40CB" w:rsidRDefault="00BA40CB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2.What is Equivalent point</w:t>
      </w:r>
    </w:p>
    <w:p w14:paraId="50081BC7" w14:textId="4C9167F6" w:rsidR="00BA40CB" w:rsidRDefault="00BA40CB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3.Write the importance of End point of the titration.</w:t>
      </w:r>
    </w:p>
    <w:p w14:paraId="129988F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727591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B91DBD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5AC879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6D9E786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093C05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F46C07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8518C0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B761F2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D959B2C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F6E9A76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128728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7BEF18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3446FE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385E30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2639C3F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sectPr w:rsidR="00C30118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66E20" w14:textId="77777777" w:rsidR="00277501" w:rsidRDefault="00277501" w:rsidP="00DB570F">
      <w:pPr>
        <w:spacing w:after="0" w:line="240" w:lineRule="auto"/>
      </w:pPr>
      <w:r>
        <w:separator/>
      </w:r>
    </w:p>
  </w:endnote>
  <w:endnote w:type="continuationSeparator" w:id="0">
    <w:p w14:paraId="12CC9788" w14:textId="77777777" w:rsidR="00277501" w:rsidRDefault="0027750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3971" w14:textId="77777777" w:rsidR="0050689C" w:rsidRDefault="0050689C">
    <w:pPr>
      <w:pStyle w:val="Footer"/>
    </w:pPr>
  </w:p>
  <w:p w14:paraId="2A6559B3" w14:textId="77777777" w:rsidR="0050689C" w:rsidRDefault="0050689C">
    <w:pPr>
      <w:pStyle w:val="Footer"/>
    </w:pPr>
  </w:p>
  <w:p w14:paraId="0D2F03F8" w14:textId="77777777" w:rsidR="0050689C" w:rsidRDefault="0050689C">
    <w:pPr>
      <w:pStyle w:val="Footer"/>
    </w:pPr>
  </w:p>
  <w:p w14:paraId="5FB7EFB3" w14:textId="77777777" w:rsidR="00F0040D" w:rsidRDefault="00F0040D">
    <w:pPr>
      <w:pStyle w:val="Footer"/>
      <w:rPr>
        <w:sz w:val="16"/>
      </w:rPr>
    </w:pPr>
  </w:p>
  <w:p w14:paraId="2E737F1E" w14:textId="77777777" w:rsidR="00F0040D" w:rsidRDefault="00F0040D">
    <w:pPr>
      <w:pStyle w:val="Footer"/>
      <w:rPr>
        <w:sz w:val="16"/>
      </w:rPr>
    </w:pPr>
  </w:p>
  <w:p w14:paraId="1FE07A9E" w14:textId="0DE1436C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6F72C8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6F72C8">
      <w:rPr>
        <w:rFonts w:ascii="Times New Roman" w:hAnsi="Times New Roman" w:cs="Times New Roman"/>
        <w:sz w:val="16"/>
      </w:rPr>
      <w:t>1</w:t>
    </w:r>
    <w:r w:rsidR="006F72C8">
      <w:rPr>
        <w:rFonts w:ascii="Times New Roman" w:hAnsi="Times New Roman" w:cs="Times New Roman"/>
        <w:sz w:val="16"/>
        <w:vertAlign w:val="superscript"/>
      </w:rPr>
      <w:t>st</w:t>
    </w:r>
    <w:r w:rsidRPr="00F0040D">
      <w:rPr>
        <w:rFonts w:ascii="Times New Roman" w:hAnsi="Times New Roman" w:cs="Times New Roman"/>
        <w:sz w:val="16"/>
      </w:rPr>
      <w:t xml:space="preserve"> SEMESTER</w:t>
    </w:r>
    <w:r w:rsidR="006F72C8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>(2023-</w:t>
    </w:r>
    <w:proofErr w:type="gramStart"/>
    <w:r w:rsidRPr="00F0040D">
      <w:rPr>
        <w:rFonts w:ascii="Times New Roman" w:hAnsi="Times New Roman" w:cs="Times New Roman"/>
        <w:sz w:val="16"/>
      </w:rPr>
      <w:t>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BA40CB">
      <w:rPr>
        <w:rFonts w:ascii="Times New Roman" w:hAnsi="Times New Roman" w:cs="Times New Roman"/>
        <w:sz w:val="16"/>
      </w:rPr>
      <w:t>K.BALAKRISHNA</w:t>
    </w:r>
    <w:proofErr w:type="gramEnd"/>
  </w:p>
  <w:p w14:paraId="01CCB547" w14:textId="77777777" w:rsidR="0050689C" w:rsidRPr="00F0040D" w:rsidRDefault="0050689C">
    <w:pPr>
      <w:pStyle w:val="Footer"/>
      <w:rPr>
        <w:sz w:val="16"/>
      </w:rPr>
    </w:pPr>
  </w:p>
  <w:p w14:paraId="255308E9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5165A" w14:textId="77777777" w:rsidR="00277501" w:rsidRDefault="00277501" w:rsidP="00DB570F">
      <w:pPr>
        <w:spacing w:after="0" w:line="240" w:lineRule="auto"/>
      </w:pPr>
      <w:r>
        <w:separator/>
      </w:r>
    </w:p>
  </w:footnote>
  <w:footnote w:type="continuationSeparator" w:id="0">
    <w:p w14:paraId="02F2CCF7" w14:textId="77777777" w:rsidR="00277501" w:rsidRDefault="0027750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C6CAE" w14:textId="77777777" w:rsidR="00C603C6" w:rsidRDefault="00000000">
    <w:pPr>
      <w:pStyle w:val="Header"/>
    </w:pPr>
    <w:r>
      <w:rPr>
        <w:noProof/>
      </w:rPr>
      <w:pict w14:anchorId="5DE91D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9A9FC47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3FFD0B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53122D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5D778" w14:textId="77777777" w:rsidR="00C603C6" w:rsidRDefault="00000000">
    <w:pPr>
      <w:pStyle w:val="Header"/>
    </w:pPr>
    <w:r>
      <w:rPr>
        <w:noProof/>
      </w:rPr>
      <w:pict w14:anchorId="7B7410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65F52"/>
    <w:rsid w:val="000D06D4"/>
    <w:rsid w:val="00277501"/>
    <w:rsid w:val="0029626A"/>
    <w:rsid w:val="002C0628"/>
    <w:rsid w:val="00377796"/>
    <w:rsid w:val="0039592B"/>
    <w:rsid w:val="003A56F2"/>
    <w:rsid w:val="00425555"/>
    <w:rsid w:val="0044614B"/>
    <w:rsid w:val="00453C00"/>
    <w:rsid w:val="00491A34"/>
    <w:rsid w:val="004B488B"/>
    <w:rsid w:val="004C37A3"/>
    <w:rsid w:val="0050689C"/>
    <w:rsid w:val="00517FE9"/>
    <w:rsid w:val="00533A36"/>
    <w:rsid w:val="00541D2F"/>
    <w:rsid w:val="0055019C"/>
    <w:rsid w:val="005C49CF"/>
    <w:rsid w:val="00657CCB"/>
    <w:rsid w:val="006C208F"/>
    <w:rsid w:val="006F72C8"/>
    <w:rsid w:val="007300CE"/>
    <w:rsid w:val="00751766"/>
    <w:rsid w:val="00767F40"/>
    <w:rsid w:val="008D61C5"/>
    <w:rsid w:val="008F2DB3"/>
    <w:rsid w:val="009517CE"/>
    <w:rsid w:val="00997E8F"/>
    <w:rsid w:val="009A76D7"/>
    <w:rsid w:val="00A067EF"/>
    <w:rsid w:val="00A37C51"/>
    <w:rsid w:val="00AF052D"/>
    <w:rsid w:val="00B9514D"/>
    <w:rsid w:val="00BA3D19"/>
    <w:rsid w:val="00BA40CB"/>
    <w:rsid w:val="00BC37A9"/>
    <w:rsid w:val="00C238FF"/>
    <w:rsid w:val="00C30118"/>
    <w:rsid w:val="00C603C6"/>
    <w:rsid w:val="00D43D7E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F889B"/>
  <w15:docId w15:val="{E13CDEA1-5F65-4A10-8160-70153645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BodyText">
    <w:name w:val="Body Text"/>
    <w:basedOn w:val="Normal"/>
    <w:link w:val="BodyTextChar"/>
    <w:uiPriority w:val="1"/>
    <w:qFormat/>
    <w:rsid w:val="003A56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56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10</cp:revision>
  <cp:lastPrinted>2024-05-22T07:36:00Z</cp:lastPrinted>
  <dcterms:created xsi:type="dcterms:W3CDTF">2024-05-22T07:39:00Z</dcterms:created>
  <dcterms:modified xsi:type="dcterms:W3CDTF">2024-06-08T08:21:00Z</dcterms:modified>
</cp:coreProperties>
</file>