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FE5DD8" w:rsidRDefault="009517CE" w:rsidP="00DB570F">
      <w:pPr>
        <w:jc w:val="center"/>
        <w:rPr>
          <w:rFonts w:ascii="Times New Roman" w:hAnsi="Times New Roman" w:cs="Times New Roman"/>
          <w:b/>
          <w:sz w:val="24"/>
          <w:szCs w:val="24"/>
          <w:u w:val="single"/>
        </w:rPr>
      </w:pPr>
      <w:r w:rsidRPr="00FE5DD8">
        <w:rPr>
          <w:rFonts w:ascii="Times New Roman" w:hAnsi="Times New Roman" w:cs="Times New Roman"/>
          <w:b/>
          <w:sz w:val="24"/>
          <w:szCs w:val="24"/>
          <w:u w:val="single"/>
        </w:rPr>
        <w:t xml:space="preserve"> </w:t>
      </w:r>
      <w:r w:rsidR="00E17D20" w:rsidRPr="00FE5DD8">
        <w:rPr>
          <w:rFonts w:ascii="Times New Roman" w:hAnsi="Times New Roman" w:cs="Times New Roman"/>
          <w:b/>
          <w:sz w:val="24"/>
          <w:szCs w:val="24"/>
          <w:u w:val="single"/>
        </w:rPr>
        <w:t>HUMAN ANATOMY &amp; PHYSIOLOGY</w:t>
      </w:r>
      <w:r w:rsidRPr="00FE5DD8">
        <w:rPr>
          <w:rFonts w:ascii="Times New Roman" w:hAnsi="Times New Roman" w:cs="Times New Roman"/>
          <w:b/>
          <w:sz w:val="24"/>
          <w:szCs w:val="24"/>
          <w:u w:val="single"/>
        </w:rPr>
        <w:t>-</w:t>
      </w:r>
      <w:r w:rsidR="00DB570F" w:rsidRPr="00FE5DD8">
        <w:rPr>
          <w:rFonts w:ascii="Times New Roman" w:hAnsi="Times New Roman" w:cs="Times New Roman"/>
          <w:b/>
          <w:sz w:val="24"/>
          <w:szCs w:val="24"/>
          <w:u w:val="single"/>
        </w:rPr>
        <w:t xml:space="preserve"> BP</w:t>
      </w:r>
      <w:r w:rsidR="00E17D20" w:rsidRPr="00FE5DD8">
        <w:rPr>
          <w:rFonts w:ascii="Times New Roman" w:hAnsi="Times New Roman" w:cs="Times New Roman"/>
          <w:b/>
          <w:sz w:val="24"/>
          <w:szCs w:val="24"/>
          <w:u w:val="single"/>
        </w:rPr>
        <w:t>101</w:t>
      </w:r>
      <w:r w:rsidR="00DB570F" w:rsidRPr="00FE5DD8">
        <w:rPr>
          <w:rFonts w:ascii="Times New Roman" w:hAnsi="Times New Roman" w:cs="Times New Roman"/>
          <w:b/>
          <w:sz w:val="24"/>
          <w:szCs w:val="24"/>
          <w:u w:val="single"/>
        </w:rPr>
        <w:t>T</w:t>
      </w:r>
    </w:p>
    <w:p w14:paraId="1AE3469E" w14:textId="77777777" w:rsidR="00DB570F" w:rsidRPr="00FE5DD8" w:rsidRDefault="00DB570F">
      <w:pPr>
        <w:rPr>
          <w:rFonts w:ascii="Times New Roman" w:hAnsi="Times New Roman" w:cs="Times New Roman"/>
          <w:sz w:val="24"/>
          <w:szCs w:val="24"/>
        </w:rPr>
      </w:pPr>
    </w:p>
    <w:p w14:paraId="3E287137" w14:textId="14AFA89C" w:rsidR="002D2893" w:rsidRPr="00FE5DD8"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Unit IV                                                                                                                                08 hours</w:t>
      </w:r>
    </w:p>
    <w:p w14:paraId="308C16BC" w14:textId="77777777"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b/>
          <w:bCs/>
          <w:sz w:val="24"/>
          <w:szCs w:val="24"/>
          <w:lang w:val="en-IN"/>
        </w:rPr>
        <w:t>Peripheral nervous system</w:t>
      </w:r>
      <w:r w:rsidRPr="00FE5DD8">
        <w:rPr>
          <w:rFonts w:ascii="Times New Roman" w:hAnsi="Times New Roman" w:cs="Times New Roman"/>
          <w:sz w:val="24"/>
          <w:szCs w:val="24"/>
          <w:lang w:val="en-IN"/>
        </w:rPr>
        <w:t>:</w:t>
      </w:r>
    </w:p>
    <w:p w14:paraId="0950F647"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Classification of peripheral nervous system: Structure and functions of</w:t>
      </w:r>
    </w:p>
    <w:p w14:paraId="0204BC51"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sympathetic and parasympathetic nervous system.</w:t>
      </w:r>
    </w:p>
    <w:p w14:paraId="0AB91D96"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Origin and functions of spinal and cranial nerves.</w:t>
      </w:r>
    </w:p>
    <w:p w14:paraId="7AB0B2C5" w14:textId="025F5B0F"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Special senses</w:t>
      </w:r>
    </w:p>
    <w:p w14:paraId="0EDA96B0" w14:textId="67C73800" w:rsidR="00395260" w:rsidRPr="00FE5DD8" w:rsidRDefault="002D2893" w:rsidP="002D2893">
      <w:pPr>
        <w:rPr>
          <w:rFonts w:ascii="Times New Roman" w:hAnsi="Times New Roman" w:cs="Times New Roman"/>
          <w:sz w:val="24"/>
          <w:szCs w:val="24"/>
        </w:rPr>
      </w:pPr>
      <w:r w:rsidRPr="00FE5DD8">
        <w:rPr>
          <w:rFonts w:ascii="Times New Roman" w:hAnsi="Times New Roman" w:cs="Times New Roman"/>
          <w:sz w:val="24"/>
          <w:szCs w:val="24"/>
          <w:lang w:val="en-IN"/>
        </w:rPr>
        <w:t>Structure and functions of eye, ear, nose and tongue and their disorders.</w:t>
      </w:r>
      <w:r w:rsidR="00DA1A81" w:rsidRPr="00FE5DD8">
        <w:rPr>
          <w:rFonts w:ascii="Times New Roman" w:hAnsi="Times New Roman" w:cs="Times New Roman"/>
          <w:sz w:val="24"/>
          <w:szCs w:val="24"/>
        </w:rPr>
        <w:tab/>
      </w:r>
    </w:p>
    <w:p w14:paraId="59832835" w14:textId="4D7778A4" w:rsidR="00570828" w:rsidRPr="00FE5DD8" w:rsidRDefault="00DA1A81" w:rsidP="00570828">
      <w:pPr>
        <w:autoSpaceDE w:val="0"/>
        <w:autoSpaceDN w:val="0"/>
        <w:adjustRightInd w:val="0"/>
        <w:spacing w:after="0" w:line="240" w:lineRule="auto"/>
        <w:rPr>
          <w:rFonts w:ascii="Times New Roman" w:hAnsi="Times New Roman" w:cs="Times New Roman"/>
          <w:b/>
          <w:bCs/>
          <w:color w:val="FF0000"/>
          <w:sz w:val="24"/>
          <w:szCs w:val="24"/>
          <w:lang w:val="en-IN"/>
        </w:rPr>
      </w:pPr>
      <w:proofErr w:type="gramStart"/>
      <w:r w:rsidRPr="00FE5DD8">
        <w:rPr>
          <w:rFonts w:ascii="Times New Roman" w:hAnsi="Times New Roman" w:cs="Times New Roman"/>
          <w:b/>
          <w:sz w:val="24"/>
          <w:szCs w:val="24"/>
        </w:rPr>
        <w:t>TOPIC</w:t>
      </w:r>
      <w:r w:rsidR="00570828" w:rsidRPr="00FE5DD8">
        <w:rPr>
          <w:rFonts w:ascii="Times New Roman" w:hAnsi="Times New Roman" w:cs="Times New Roman"/>
          <w:b/>
          <w:bCs/>
          <w:sz w:val="24"/>
          <w:szCs w:val="24"/>
          <w:lang w:val="en-IN"/>
        </w:rPr>
        <w:t xml:space="preserve"> :</w:t>
      </w:r>
      <w:proofErr w:type="gramEnd"/>
      <w:r w:rsidR="00570828" w:rsidRPr="00FE5DD8">
        <w:rPr>
          <w:rFonts w:ascii="Times New Roman" w:hAnsi="Times New Roman" w:cs="Times New Roman"/>
          <w:b/>
          <w:bCs/>
          <w:sz w:val="24"/>
          <w:szCs w:val="24"/>
          <w:lang w:val="en-IN"/>
        </w:rPr>
        <w:t xml:space="preserve"> </w:t>
      </w:r>
      <w:r w:rsidR="00570828" w:rsidRPr="00FE5DD8">
        <w:rPr>
          <w:rFonts w:ascii="Times New Roman" w:hAnsi="Times New Roman" w:cs="Times New Roman"/>
          <w:b/>
          <w:bCs/>
          <w:color w:val="FF0000"/>
          <w:sz w:val="24"/>
          <w:szCs w:val="24"/>
          <w:lang w:val="en-IN"/>
        </w:rPr>
        <w:t xml:space="preserve">SPECIAL SENSES- </w:t>
      </w:r>
      <w:r w:rsidR="00127E2E" w:rsidRPr="00127E2E">
        <w:rPr>
          <w:rFonts w:ascii="Times New Roman" w:hAnsi="Times New Roman" w:cs="Times New Roman"/>
          <w:color w:val="FF0000"/>
          <w:sz w:val="24"/>
          <w:szCs w:val="24"/>
          <w:lang w:val="en-IN"/>
        </w:rPr>
        <w:t>tongue</w:t>
      </w:r>
    </w:p>
    <w:p w14:paraId="5BF42B1E" w14:textId="77777777" w:rsidR="00570828" w:rsidRPr="00FE5DD8" w:rsidRDefault="00570828" w:rsidP="00570828">
      <w:pPr>
        <w:autoSpaceDE w:val="0"/>
        <w:autoSpaceDN w:val="0"/>
        <w:adjustRightInd w:val="0"/>
        <w:spacing w:after="0" w:line="240" w:lineRule="auto"/>
        <w:rPr>
          <w:rFonts w:ascii="Times New Roman" w:hAnsi="Times New Roman" w:cs="Times New Roman"/>
          <w:b/>
          <w:bCs/>
          <w:sz w:val="24"/>
          <w:szCs w:val="24"/>
          <w:lang w:val="en-IN"/>
        </w:rPr>
      </w:pPr>
    </w:p>
    <w:p w14:paraId="1AF687B7" w14:textId="77777777" w:rsidR="00127E2E" w:rsidRPr="00127E2E" w:rsidRDefault="00127E2E" w:rsidP="00127E2E">
      <w:pPr>
        <w:pStyle w:val="NormalWeb"/>
        <w:shd w:val="clear" w:color="auto" w:fill="FFFFFF"/>
        <w:spacing w:before="0" w:beforeAutospacing="0" w:after="300" w:afterAutospacing="0" w:line="390" w:lineRule="atLeast"/>
        <w:rPr>
          <w:spacing w:val="-2"/>
        </w:rPr>
      </w:pPr>
      <w:r w:rsidRPr="00127E2E">
        <w:rPr>
          <w:spacing w:val="-2"/>
        </w:rPr>
        <w:t>The tongue is a muscular organ situated in the </w:t>
      </w:r>
      <w:hyperlink r:id="rId8" w:history="1">
        <w:r w:rsidRPr="00127E2E">
          <w:rPr>
            <w:rStyle w:val="Hyperlink"/>
            <w:color w:val="auto"/>
            <w:spacing w:val="-2"/>
          </w:rPr>
          <w:t>oral cavity</w:t>
        </w:r>
      </w:hyperlink>
      <w:r w:rsidRPr="00127E2E">
        <w:rPr>
          <w:spacing w:val="-2"/>
        </w:rPr>
        <w:t>, and an accessory digestive organ. Its main functions include </w:t>
      </w:r>
      <w:hyperlink r:id="rId9" w:history="1">
        <w:r w:rsidRPr="00127E2E">
          <w:rPr>
            <w:rStyle w:val="Hyperlink"/>
            <w:color w:val="auto"/>
            <w:spacing w:val="-2"/>
          </w:rPr>
          <w:t>sensation of taste</w:t>
        </w:r>
      </w:hyperlink>
      <w:r w:rsidRPr="00127E2E">
        <w:rPr>
          <w:spacing w:val="-2"/>
        </w:rPr>
        <w:t>, mastication (chewing), </w:t>
      </w:r>
      <w:hyperlink r:id="rId10" w:history="1">
        <w:r w:rsidRPr="00127E2E">
          <w:rPr>
            <w:rStyle w:val="Hyperlink"/>
            <w:color w:val="auto"/>
            <w:spacing w:val="-2"/>
          </w:rPr>
          <w:t>deglutition (swallowing)</w:t>
        </w:r>
      </w:hyperlink>
      <w:r w:rsidRPr="00127E2E">
        <w:rPr>
          <w:spacing w:val="-2"/>
        </w:rPr>
        <w:t>, speech, and clearing the oral cavity.</w:t>
      </w:r>
    </w:p>
    <w:p w14:paraId="7EC137FD" w14:textId="77777777" w:rsidR="00127E2E" w:rsidRPr="00127E2E" w:rsidRDefault="00127E2E" w:rsidP="00127E2E">
      <w:pPr>
        <w:pStyle w:val="NormalWeb"/>
        <w:shd w:val="clear" w:color="auto" w:fill="FFFFFF"/>
        <w:spacing w:before="0" w:beforeAutospacing="0" w:after="300" w:afterAutospacing="0" w:line="390" w:lineRule="atLeast"/>
        <w:rPr>
          <w:spacing w:val="-2"/>
        </w:rPr>
      </w:pPr>
      <w:r w:rsidRPr="00127E2E">
        <w:rPr>
          <w:spacing w:val="-2"/>
        </w:rPr>
        <w:t>The rich motor and sensory innervation of the tongue is carried by four cranial nerves</w:t>
      </w:r>
    </w:p>
    <w:p w14:paraId="558DF42C" w14:textId="77777777" w:rsidR="00127E2E" w:rsidRPr="00127E2E" w:rsidRDefault="00127E2E" w:rsidP="00127E2E">
      <w:pPr>
        <w:numPr>
          <w:ilvl w:val="0"/>
          <w:numId w:val="34"/>
        </w:numPr>
        <w:shd w:val="clear" w:color="auto" w:fill="FFFFFF"/>
        <w:spacing w:before="100" w:beforeAutospacing="1" w:after="75" w:line="240" w:lineRule="auto"/>
        <w:rPr>
          <w:rFonts w:ascii="Times New Roman" w:hAnsi="Times New Roman" w:cs="Times New Roman"/>
          <w:spacing w:val="-2"/>
          <w:sz w:val="24"/>
          <w:szCs w:val="24"/>
        </w:rPr>
      </w:pPr>
      <w:r w:rsidRPr="00127E2E">
        <w:rPr>
          <w:rFonts w:ascii="Times New Roman" w:hAnsi="Times New Roman" w:cs="Times New Roman"/>
          <w:spacing w:val="-2"/>
          <w:sz w:val="24"/>
          <w:szCs w:val="24"/>
        </w:rPr>
        <w:t>The hypoglossal nerve (CN XII)</w:t>
      </w:r>
    </w:p>
    <w:p w14:paraId="41DD2136" w14:textId="77777777" w:rsidR="00127E2E" w:rsidRPr="00127E2E" w:rsidRDefault="00127E2E" w:rsidP="00127E2E">
      <w:pPr>
        <w:numPr>
          <w:ilvl w:val="0"/>
          <w:numId w:val="34"/>
        </w:numPr>
        <w:shd w:val="clear" w:color="auto" w:fill="FFFFFF"/>
        <w:spacing w:before="100" w:beforeAutospacing="1" w:after="75" w:line="240" w:lineRule="auto"/>
        <w:rPr>
          <w:rFonts w:ascii="Times New Roman" w:hAnsi="Times New Roman" w:cs="Times New Roman"/>
          <w:spacing w:val="-2"/>
          <w:sz w:val="24"/>
          <w:szCs w:val="24"/>
        </w:rPr>
      </w:pPr>
      <w:r w:rsidRPr="00127E2E">
        <w:rPr>
          <w:rFonts w:ascii="Times New Roman" w:hAnsi="Times New Roman" w:cs="Times New Roman"/>
          <w:spacing w:val="-2"/>
          <w:sz w:val="24"/>
          <w:szCs w:val="24"/>
        </w:rPr>
        <w:t>The facial nerve (CN VII)</w:t>
      </w:r>
    </w:p>
    <w:p w14:paraId="5B4FFDAA" w14:textId="77777777" w:rsidR="00127E2E" w:rsidRPr="00127E2E" w:rsidRDefault="00127E2E" w:rsidP="00127E2E">
      <w:pPr>
        <w:numPr>
          <w:ilvl w:val="0"/>
          <w:numId w:val="34"/>
        </w:numPr>
        <w:shd w:val="clear" w:color="auto" w:fill="FFFFFF"/>
        <w:spacing w:before="100" w:beforeAutospacing="1" w:after="75" w:line="240" w:lineRule="auto"/>
        <w:rPr>
          <w:rFonts w:ascii="Times New Roman" w:hAnsi="Times New Roman" w:cs="Times New Roman"/>
          <w:spacing w:val="-2"/>
          <w:sz w:val="24"/>
          <w:szCs w:val="24"/>
        </w:rPr>
      </w:pPr>
      <w:r w:rsidRPr="00127E2E">
        <w:rPr>
          <w:rFonts w:ascii="Times New Roman" w:hAnsi="Times New Roman" w:cs="Times New Roman"/>
          <w:spacing w:val="-2"/>
          <w:sz w:val="24"/>
          <w:szCs w:val="24"/>
        </w:rPr>
        <w:t>The glossopharyngeal nerve (CN IX)</w:t>
      </w:r>
    </w:p>
    <w:p w14:paraId="26C355ED" w14:textId="77777777" w:rsidR="00127E2E" w:rsidRPr="00127E2E" w:rsidRDefault="00127E2E" w:rsidP="00127E2E">
      <w:pPr>
        <w:numPr>
          <w:ilvl w:val="0"/>
          <w:numId w:val="34"/>
        </w:numPr>
        <w:shd w:val="clear" w:color="auto" w:fill="FFFFFF"/>
        <w:spacing w:before="100" w:beforeAutospacing="1" w:after="75" w:line="240" w:lineRule="auto"/>
        <w:rPr>
          <w:rFonts w:ascii="Times New Roman" w:hAnsi="Times New Roman" w:cs="Times New Roman"/>
          <w:spacing w:val="-2"/>
          <w:sz w:val="24"/>
          <w:szCs w:val="24"/>
        </w:rPr>
      </w:pPr>
      <w:r w:rsidRPr="00127E2E">
        <w:rPr>
          <w:rFonts w:ascii="Times New Roman" w:hAnsi="Times New Roman" w:cs="Times New Roman"/>
          <w:spacing w:val="-2"/>
          <w:sz w:val="24"/>
          <w:szCs w:val="24"/>
        </w:rPr>
        <w:t xml:space="preserve">The </w:t>
      </w:r>
      <w:proofErr w:type="spellStart"/>
      <w:r w:rsidRPr="00127E2E">
        <w:rPr>
          <w:rFonts w:ascii="Times New Roman" w:hAnsi="Times New Roman" w:cs="Times New Roman"/>
          <w:spacing w:val="-2"/>
          <w:sz w:val="24"/>
          <w:szCs w:val="24"/>
        </w:rPr>
        <w:t>vagus</w:t>
      </w:r>
      <w:proofErr w:type="spellEnd"/>
      <w:r w:rsidRPr="00127E2E">
        <w:rPr>
          <w:rFonts w:ascii="Times New Roman" w:hAnsi="Times New Roman" w:cs="Times New Roman"/>
          <w:spacing w:val="-2"/>
          <w:sz w:val="24"/>
          <w:szCs w:val="24"/>
        </w:rPr>
        <w:t xml:space="preserve"> nerve (CN X)</w:t>
      </w:r>
    </w:p>
    <w:tbl>
      <w:tblPr>
        <w:tblW w:w="10530" w:type="dxa"/>
        <w:tblCellSpacing w:w="15" w:type="dxa"/>
        <w:tblBorders>
          <w:top w:val="single" w:sz="6" w:space="0" w:color="D8D8D8"/>
          <w:left w:val="single" w:sz="6" w:space="0" w:color="D8D8D8"/>
          <w:bottom w:val="single" w:sz="6" w:space="0" w:color="D8D8D8"/>
          <w:right w:val="single" w:sz="6" w:space="0" w:color="D8D8D8"/>
        </w:tblBorders>
        <w:shd w:val="clear" w:color="auto" w:fill="F7F7F7"/>
        <w:tblCellMar>
          <w:top w:w="15" w:type="dxa"/>
          <w:left w:w="15" w:type="dxa"/>
          <w:bottom w:w="15" w:type="dxa"/>
          <w:right w:w="15" w:type="dxa"/>
        </w:tblCellMar>
        <w:tblLook w:val="04A0" w:firstRow="1" w:lastRow="0" w:firstColumn="1" w:lastColumn="0" w:noHBand="0" w:noVBand="1"/>
      </w:tblPr>
      <w:tblGrid>
        <w:gridCol w:w="2745"/>
        <w:gridCol w:w="7785"/>
      </w:tblGrid>
      <w:tr w:rsidR="00127E2E" w:rsidRPr="00127E2E" w14:paraId="44AEFD80" w14:textId="77777777" w:rsidTr="00127E2E">
        <w:trPr>
          <w:tblCellSpacing w:w="15" w:type="dxa"/>
        </w:trPr>
        <w:tc>
          <w:tcPr>
            <w:tcW w:w="0" w:type="auto"/>
            <w:gridSpan w:val="2"/>
            <w:tcBorders>
              <w:top w:val="nil"/>
              <w:left w:val="nil"/>
              <w:bottom w:val="nil"/>
              <w:right w:val="nil"/>
            </w:tcBorders>
            <w:shd w:val="clear" w:color="auto" w:fill="F7F7F7"/>
            <w:tcMar>
              <w:top w:w="150" w:type="dxa"/>
              <w:left w:w="225" w:type="dxa"/>
              <w:bottom w:w="150" w:type="dxa"/>
              <w:right w:w="225" w:type="dxa"/>
            </w:tcMar>
            <w:vAlign w:val="center"/>
            <w:hideMark/>
          </w:tcPr>
          <w:p w14:paraId="65929D72" w14:textId="33C9D5C2" w:rsidR="00127E2E" w:rsidRPr="00127E2E" w:rsidRDefault="00127E2E" w:rsidP="00127E2E">
            <w:pPr>
              <w:pBdr>
                <w:top w:val="single" w:sz="6" w:space="8" w:color="D8D8D8"/>
                <w:left w:val="single" w:sz="6" w:space="11" w:color="D8D8D8"/>
                <w:right w:val="single" w:sz="6" w:space="11" w:color="D8D8D8"/>
              </w:pBdr>
              <w:shd w:val="clear" w:color="auto" w:fill="F7F7F7"/>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Key facts about the muscles and taste sensation of the tongue</w:t>
            </w:r>
          </w:p>
        </w:tc>
      </w:tr>
      <w:tr w:rsidR="00127E2E" w:rsidRPr="00127E2E" w14:paraId="6FFBCB10" w14:textId="77777777" w:rsidTr="00127E2E">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083FDE3C"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Intrinsic muscles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153D6942"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Superior longitudinal, inferior longitudinal, transverse, and vertical muscles</w:t>
            </w:r>
            <w:r w:rsidRPr="00127E2E">
              <w:rPr>
                <w:rFonts w:ascii="Times New Roman" w:eastAsia="Times New Roman" w:hAnsi="Times New Roman" w:cs="Times New Roman"/>
                <w:spacing w:val="-2"/>
                <w:sz w:val="24"/>
                <w:szCs w:val="24"/>
                <w:lang w:val="en-IN" w:eastAsia="en-IN"/>
              </w:rPr>
              <w:br/>
              <w:t>Innervated by hypoglossal nerve (CN XII)</w:t>
            </w:r>
          </w:p>
        </w:tc>
      </w:tr>
      <w:tr w:rsidR="00127E2E" w:rsidRPr="00127E2E" w14:paraId="78128146" w14:textId="77777777" w:rsidTr="00127E2E">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29AA0698"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Extrinsic muscles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7ACBD0B4"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Genioglossus, hyoglossus, styloglossus, and palatoglossus</w:t>
            </w:r>
            <w:r w:rsidRPr="00127E2E">
              <w:rPr>
                <w:rFonts w:ascii="Times New Roman" w:eastAsia="Times New Roman" w:hAnsi="Times New Roman" w:cs="Times New Roman"/>
                <w:spacing w:val="-2"/>
                <w:sz w:val="24"/>
                <w:szCs w:val="24"/>
                <w:lang w:val="en-IN" w:eastAsia="en-IN"/>
              </w:rPr>
              <w:br/>
              <w:t>Innervated by hypoglossal nerve (CN XII), except palatoglossus innervated by </w:t>
            </w:r>
            <w:proofErr w:type="spellStart"/>
            <w:r w:rsidRPr="00127E2E">
              <w:rPr>
                <w:rFonts w:ascii="Times New Roman" w:eastAsia="Times New Roman" w:hAnsi="Times New Roman" w:cs="Times New Roman"/>
                <w:spacing w:val="-2"/>
                <w:sz w:val="24"/>
                <w:szCs w:val="24"/>
                <w:lang w:val="en-IN" w:eastAsia="en-IN"/>
              </w:rPr>
              <w:t>vagus</w:t>
            </w:r>
            <w:proofErr w:type="spellEnd"/>
            <w:r w:rsidRPr="00127E2E">
              <w:rPr>
                <w:rFonts w:ascii="Times New Roman" w:eastAsia="Times New Roman" w:hAnsi="Times New Roman" w:cs="Times New Roman"/>
                <w:spacing w:val="-2"/>
                <w:sz w:val="24"/>
                <w:szCs w:val="24"/>
                <w:lang w:val="en-IN" w:eastAsia="en-IN"/>
              </w:rPr>
              <w:t xml:space="preserve"> nerve (CN X) (via branches of pharyngeal plexus)</w:t>
            </w:r>
          </w:p>
        </w:tc>
      </w:tr>
      <w:tr w:rsidR="00127E2E" w:rsidRPr="00127E2E" w14:paraId="443CC502" w14:textId="77777777" w:rsidTr="00127E2E">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78F64C3E"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Taste sensation</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1BD7E36E"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Receptors: taste buds within fungiform, vallate, and foliate papillae</w:t>
            </w:r>
            <w:r w:rsidRPr="00127E2E">
              <w:rPr>
                <w:rFonts w:ascii="Times New Roman" w:eastAsia="Times New Roman" w:hAnsi="Times New Roman" w:cs="Times New Roman"/>
                <w:spacing w:val="-2"/>
                <w:sz w:val="24"/>
                <w:szCs w:val="24"/>
                <w:lang w:val="en-IN" w:eastAsia="en-IN"/>
              </w:rPr>
              <w:br/>
              <w:t>Anterior two-thirds: chorda tympani (branch of facial nerve CN VII)</w:t>
            </w:r>
            <w:r w:rsidRPr="00127E2E">
              <w:rPr>
                <w:rFonts w:ascii="Times New Roman" w:eastAsia="Times New Roman" w:hAnsi="Times New Roman" w:cs="Times New Roman"/>
                <w:spacing w:val="-2"/>
                <w:sz w:val="24"/>
                <w:szCs w:val="24"/>
                <w:lang w:val="en-IN" w:eastAsia="en-IN"/>
              </w:rPr>
              <w:br/>
            </w:r>
            <w:r w:rsidRPr="00127E2E">
              <w:rPr>
                <w:rFonts w:ascii="Times New Roman" w:eastAsia="Times New Roman" w:hAnsi="Times New Roman" w:cs="Times New Roman"/>
                <w:spacing w:val="-2"/>
                <w:sz w:val="24"/>
                <w:szCs w:val="24"/>
                <w:lang w:val="en-IN" w:eastAsia="en-IN"/>
              </w:rPr>
              <w:lastRenderedPageBreak/>
              <w:t xml:space="preserve">Posterior one-third and vallate papillae: glossopharyngeal nerve (CN IX), superior laryngeal nerve (branch of </w:t>
            </w:r>
            <w:proofErr w:type="spellStart"/>
            <w:r w:rsidRPr="00127E2E">
              <w:rPr>
                <w:rFonts w:ascii="Times New Roman" w:eastAsia="Times New Roman" w:hAnsi="Times New Roman" w:cs="Times New Roman"/>
                <w:spacing w:val="-2"/>
                <w:sz w:val="24"/>
                <w:szCs w:val="24"/>
                <w:lang w:val="en-IN" w:eastAsia="en-IN"/>
              </w:rPr>
              <w:t>vagus</w:t>
            </w:r>
            <w:proofErr w:type="spellEnd"/>
            <w:r w:rsidRPr="00127E2E">
              <w:rPr>
                <w:rFonts w:ascii="Times New Roman" w:eastAsia="Times New Roman" w:hAnsi="Times New Roman" w:cs="Times New Roman"/>
                <w:spacing w:val="-2"/>
                <w:sz w:val="24"/>
                <w:szCs w:val="24"/>
                <w:lang w:val="en-IN" w:eastAsia="en-IN"/>
              </w:rPr>
              <w:t xml:space="preserve"> nerve CN X)</w:t>
            </w:r>
          </w:p>
        </w:tc>
      </w:tr>
      <w:tr w:rsidR="00127E2E" w:rsidRPr="00127E2E" w14:paraId="3D53CE84" w14:textId="77777777" w:rsidTr="00127E2E">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6A5EB398"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lastRenderedPageBreak/>
              <w:t>Taste (gustatory) pathway</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4E1CAE34"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 xml:space="preserve">Anterior two-thirds: facial nerve (CN VII) → chorda tympani → geniculate and </w:t>
            </w:r>
            <w:proofErr w:type="spellStart"/>
            <w:r w:rsidRPr="00127E2E">
              <w:rPr>
                <w:rFonts w:ascii="Times New Roman" w:eastAsia="Times New Roman" w:hAnsi="Times New Roman" w:cs="Times New Roman"/>
                <w:spacing w:val="-2"/>
                <w:sz w:val="24"/>
                <w:szCs w:val="24"/>
                <w:lang w:val="en-IN" w:eastAsia="en-IN"/>
              </w:rPr>
              <w:t>otic</w:t>
            </w:r>
            <w:proofErr w:type="spellEnd"/>
            <w:r w:rsidRPr="00127E2E">
              <w:rPr>
                <w:rFonts w:ascii="Times New Roman" w:eastAsia="Times New Roman" w:hAnsi="Times New Roman" w:cs="Times New Roman"/>
                <w:spacing w:val="-2"/>
                <w:sz w:val="24"/>
                <w:szCs w:val="24"/>
                <w:lang w:val="en-IN" w:eastAsia="en-IN"/>
              </w:rPr>
              <w:t xml:space="preserve"> ganglia → anterior solitary tract nucleus</w:t>
            </w:r>
            <w:r w:rsidRPr="00127E2E">
              <w:rPr>
                <w:rFonts w:ascii="Times New Roman" w:eastAsia="Times New Roman" w:hAnsi="Times New Roman" w:cs="Times New Roman"/>
                <w:spacing w:val="-2"/>
                <w:sz w:val="24"/>
                <w:szCs w:val="24"/>
                <w:lang w:val="en-IN" w:eastAsia="en-IN"/>
              </w:rPr>
              <w:br/>
              <w:t>Posterior third: superior laryngeal and glossopharyngeal (CN IX) nerves → inferior glossopharyngeal and inferior vagal ganglia → anterior solitary tract nucleus</w:t>
            </w:r>
            <w:r w:rsidRPr="00127E2E">
              <w:rPr>
                <w:rFonts w:ascii="Times New Roman" w:eastAsia="Times New Roman" w:hAnsi="Times New Roman" w:cs="Times New Roman"/>
                <w:spacing w:val="-2"/>
                <w:sz w:val="24"/>
                <w:szCs w:val="24"/>
                <w:lang w:val="en-IN" w:eastAsia="en-IN"/>
              </w:rPr>
              <w:br/>
              <w:t>From anterior solitary tract nucleus → central tegmental tract → thalamus → gustatory cortex</w:t>
            </w:r>
          </w:p>
        </w:tc>
      </w:tr>
      <w:tr w:rsidR="00127E2E" w:rsidRPr="00127E2E" w14:paraId="7E3C8833" w14:textId="77777777" w:rsidTr="00127E2E">
        <w:trPr>
          <w:tblCellSpacing w:w="15" w:type="dxa"/>
        </w:trPr>
        <w:tc>
          <w:tcPr>
            <w:tcW w:w="2700" w:type="dxa"/>
            <w:tcBorders>
              <w:left w:val="nil"/>
              <w:bottom w:val="nil"/>
            </w:tcBorders>
            <w:shd w:val="clear" w:color="auto" w:fill="F7F7F7"/>
            <w:tcMar>
              <w:top w:w="150" w:type="dxa"/>
              <w:left w:w="225" w:type="dxa"/>
              <w:bottom w:w="150" w:type="dxa"/>
              <w:right w:w="225" w:type="dxa"/>
            </w:tcMar>
            <w:hideMark/>
          </w:tcPr>
          <w:p w14:paraId="53267EAF"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Clinical relations</w:t>
            </w:r>
          </w:p>
        </w:tc>
        <w:tc>
          <w:tcPr>
            <w:tcW w:w="0" w:type="auto"/>
            <w:tcBorders>
              <w:left w:val="single" w:sz="6" w:space="0" w:color="D8D8D8"/>
              <w:bottom w:val="nil"/>
            </w:tcBorders>
            <w:shd w:val="clear" w:color="auto" w:fill="F7F7F7"/>
            <w:tcMar>
              <w:top w:w="150" w:type="dxa"/>
              <w:left w:w="225" w:type="dxa"/>
              <w:bottom w:w="150" w:type="dxa"/>
              <w:right w:w="225" w:type="dxa"/>
            </w:tcMar>
            <w:hideMark/>
          </w:tcPr>
          <w:p w14:paraId="06D6EC86" w14:textId="77777777" w:rsidR="00127E2E" w:rsidRPr="00127E2E" w:rsidRDefault="00127E2E" w:rsidP="00127E2E">
            <w:pPr>
              <w:spacing w:after="300" w:line="285" w:lineRule="atLeast"/>
              <w:rPr>
                <w:rFonts w:ascii="Times New Roman" w:eastAsia="Times New Roman" w:hAnsi="Times New Roman" w:cs="Times New Roman"/>
                <w:spacing w:val="-2"/>
                <w:sz w:val="24"/>
                <w:szCs w:val="24"/>
                <w:lang w:val="en-IN" w:eastAsia="en-IN"/>
              </w:rPr>
            </w:pPr>
            <w:r w:rsidRPr="00127E2E">
              <w:rPr>
                <w:rFonts w:ascii="Times New Roman" w:eastAsia="Times New Roman" w:hAnsi="Times New Roman" w:cs="Times New Roman"/>
                <w:spacing w:val="-2"/>
                <w:sz w:val="24"/>
                <w:szCs w:val="24"/>
                <w:lang w:val="en-IN" w:eastAsia="en-IN"/>
              </w:rPr>
              <w:t>Unilateral and bilateral paralysis of hypoglossal nerve, paralysis of facial nerve, dysarthria, damage to taste sensation, papillae, tongue muscles</w:t>
            </w:r>
          </w:p>
        </w:tc>
      </w:tr>
    </w:tbl>
    <w:p w14:paraId="3780F1C1" w14:textId="77777777" w:rsidR="00127E2E" w:rsidRPr="00127E2E" w:rsidRDefault="00127E2E" w:rsidP="00127E2E">
      <w:pPr>
        <w:pStyle w:val="Heading2"/>
        <w:shd w:val="clear" w:color="auto" w:fill="FFFFFF"/>
        <w:spacing w:before="0" w:after="450" w:line="330" w:lineRule="atLeast"/>
        <w:jc w:val="both"/>
        <w:rPr>
          <w:rFonts w:ascii="Times New Roman" w:hAnsi="Times New Roman" w:cs="Times New Roman"/>
          <w:color w:val="auto"/>
          <w:spacing w:val="-2"/>
          <w:sz w:val="24"/>
          <w:szCs w:val="24"/>
        </w:rPr>
      </w:pPr>
      <w:r w:rsidRPr="00127E2E">
        <w:rPr>
          <w:rFonts w:ascii="Times New Roman" w:hAnsi="Times New Roman" w:cs="Times New Roman"/>
          <w:b/>
          <w:bCs/>
          <w:color w:val="auto"/>
          <w:spacing w:val="-2"/>
          <w:sz w:val="24"/>
          <w:szCs w:val="24"/>
        </w:rPr>
        <w:t>Tongue muscles</w:t>
      </w:r>
    </w:p>
    <w:p w14:paraId="68C75A85" w14:textId="77777777" w:rsidR="00127E2E" w:rsidRDefault="00127E2E" w:rsidP="00127E2E">
      <w:pPr>
        <w:pStyle w:val="NormalWeb"/>
        <w:shd w:val="clear" w:color="auto" w:fill="FFFFFF"/>
        <w:spacing w:before="0" w:beforeAutospacing="0" w:after="300" w:afterAutospacing="0" w:line="390" w:lineRule="atLeast"/>
        <w:jc w:val="both"/>
        <w:rPr>
          <w:rFonts w:ascii="Helvetica" w:hAnsi="Helvetica" w:cs="Helvetica"/>
          <w:color w:val="495354"/>
          <w:spacing w:val="-2"/>
        </w:rPr>
      </w:pPr>
      <w:r w:rsidRPr="00127E2E">
        <w:rPr>
          <w:spacing w:val="-2"/>
        </w:rPr>
        <w:t>The tongue is an entirely muscular organ. It is separated medially into two halves by a connective septum, the lingual septum. The muscles that make up the tongue are paired, with each muscle from a pair being related to one half of the tongue</w:t>
      </w:r>
      <w:r>
        <w:rPr>
          <w:rFonts w:ascii="Helvetica" w:hAnsi="Helvetica" w:cs="Helvetica"/>
          <w:color w:val="495354"/>
          <w:spacing w:val="-2"/>
        </w:rPr>
        <w:t>.</w:t>
      </w:r>
    </w:p>
    <w:p w14:paraId="2A32BF28"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There are two groups of muscles associated with the tongue. One group are muscles that comprise the core of the tongue and are placed within it, and therefore are called the </w:t>
      </w:r>
      <w:r w:rsidRPr="00127E2E">
        <w:rPr>
          <w:rStyle w:val="Strong"/>
          <w:b w:val="0"/>
          <w:bCs w:val="0"/>
          <w:spacing w:val="-2"/>
        </w:rPr>
        <w:t>intrinsic muscles</w:t>
      </w:r>
      <w:r w:rsidRPr="00127E2E">
        <w:rPr>
          <w:spacing w:val="-2"/>
        </w:rPr>
        <w:t>. Their main function is altering the shape of the tongue, and they are: the superior longitudinal, inferior longitudinal, transverse and vertical muscles.</w:t>
      </w:r>
    </w:p>
    <w:p w14:paraId="77DC1E12"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The other group comprises the muscles that are outside the tongue but are functionally associated with it and help it perform its function. They are called the </w:t>
      </w:r>
      <w:r w:rsidRPr="00127E2E">
        <w:rPr>
          <w:rStyle w:val="Strong"/>
          <w:b w:val="0"/>
          <w:bCs w:val="0"/>
          <w:spacing w:val="-2"/>
        </w:rPr>
        <w:t>extrinsic muscles</w:t>
      </w:r>
      <w:r w:rsidRPr="00127E2E">
        <w:rPr>
          <w:spacing w:val="-2"/>
        </w:rPr>
        <w:t>, and their main function is altering the position of the tongue. They are: the genioglossus, hyoglossus, styloglossus and the palatoglossus muscles.</w:t>
      </w:r>
    </w:p>
    <w:p w14:paraId="5874DF8B" w14:textId="7E8A422D"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shd w:val="clear" w:color="auto" w:fill="FFFFFF"/>
        </w:rPr>
        <w:t>All the muscles of the tongue are innervated by the </w:t>
      </w:r>
      <w:hyperlink r:id="rId11" w:history="1">
        <w:r w:rsidRPr="00127E2E">
          <w:rPr>
            <w:rStyle w:val="Hyperlink"/>
            <w:color w:val="auto"/>
            <w:spacing w:val="-2"/>
            <w:shd w:val="clear" w:color="auto" w:fill="FFFFFF"/>
          </w:rPr>
          <w:t>hypoglossal nerve</w:t>
        </w:r>
      </w:hyperlink>
      <w:r w:rsidRPr="00127E2E">
        <w:rPr>
          <w:spacing w:val="-2"/>
          <w:shd w:val="clear" w:color="auto" w:fill="FFFFFF"/>
        </w:rPr>
        <w:t> (CN XII), except for the palatoglossus muscle which is supplied by the </w:t>
      </w:r>
      <w:proofErr w:type="spellStart"/>
      <w:r w:rsidRPr="00127E2E">
        <w:rPr>
          <w:rStyle w:val="Strong"/>
          <w:b w:val="0"/>
          <w:bCs w:val="0"/>
          <w:spacing w:val="-2"/>
          <w:shd w:val="clear" w:color="auto" w:fill="FFFFFF"/>
        </w:rPr>
        <w:fldChar w:fldCharType="begin"/>
      </w:r>
      <w:r w:rsidRPr="00127E2E">
        <w:rPr>
          <w:rStyle w:val="Strong"/>
          <w:b w:val="0"/>
          <w:bCs w:val="0"/>
          <w:spacing w:val="-2"/>
          <w:shd w:val="clear" w:color="auto" w:fill="FFFFFF"/>
        </w:rPr>
        <w:instrText>HYPERLINK "https://www.kenhub.com/en/library/anatomy/the-vagus-nerve"</w:instrText>
      </w:r>
      <w:r w:rsidRPr="00127E2E">
        <w:rPr>
          <w:rStyle w:val="Strong"/>
          <w:b w:val="0"/>
          <w:bCs w:val="0"/>
          <w:spacing w:val="-2"/>
          <w:shd w:val="clear" w:color="auto" w:fill="FFFFFF"/>
        </w:rPr>
      </w:r>
      <w:r w:rsidRPr="00127E2E">
        <w:rPr>
          <w:rStyle w:val="Strong"/>
          <w:b w:val="0"/>
          <w:bCs w:val="0"/>
          <w:spacing w:val="-2"/>
          <w:shd w:val="clear" w:color="auto" w:fill="FFFFFF"/>
        </w:rPr>
        <w:fldChar w:fldCharType="separate"/>
      </w:r>
      <w:r w:rsidRPr="00127E2E">
        <w:rPr>
          <w:rStyle w:val="Hyperlink"/>
          <w:color w:val="auto"/>
          <w:spacing w:val="-2"/>
          <w:shd w:val="clear" w:color="auto" w:fill="FFFFFF"/>
        </w:rPr>
        <w:t>vagus</w:t>
      </w:r>
      <w:proofErr w:type="spellEnd"/>
      <w:r w:rsidRPr="00127E2E">
        <w:rPr>
          <w:rStyle w:val="Hyperlink"/>
          <w:color w:val="auto"/>
          <w:spacing w:val="-2"/>
          <w:shd w:val="clear" w:color="auto" w:fill="FFFFFF"/>
        </w:rPr>
        <w:t xml:space="preserve"> nerve</w:t>
      </w:r>
      <w:r w:rsidRPr="00127E2E">
        <w:rPr>
          <w:rStyle w:val="Strong"/>
          <w:b w:val="0"/>
          <w:bCs w:val="0"/>
          <w:spacing w:val="-2"/>
          <w:shd w:val="clear" w:color="auto" w:fill="FFFFFF"/>
        </w:rPr>
        <w:fldChar w:fldCharType="end"/>
      </w:r>
      <w:r w:rsidRPr="00127E2E">
        <w:rPr>
          <w:spacing w:val="-2"/>
          <w:shd w:val="clear" w:color="auto" w:fill="FFFFFF"/>
        </w:rPr>
        <w:t> (CN X).</w:t>
      </w:r>
    </w:p>
    <w:p w14:paraId="51CBD06C" w14:textId="137C398D" w:rsidR="00570828" w:rsidRDefault="00127E2E" w:rsidP="00127E2E">
      <w:pPr>
        <w:jc w:val="center"/>
        <w:rPr>
          <w:rFonts w:ascii="Times New Roman" w:hAnsi="Times New Roman" w:cs="Times New Roman"/>
          <w:sz w:val="24"/>
          <w:szCs w:val="24"/>
        </w:rPr>
      </w:pPr>
      <w:r w:rsidRPr="00127E2E">
        <w:rPr>
          <w:rFonts w:ascii="Times New Roman" w:hAnsi="Times New Roman" w:cs="Times New Roman"/>
          <w:sz w:val="24"/>
          <w:szCs w:val="24"/>
        </w:rPr>
        <w:lastRenderedPageBreak/>
        <w:drawing>
          <wp:inline distT="0" distB="0" distL="0" distR="0" wp14:anchorId="1FB88DE6" wp14:editId="33FE6060">
            <wp:extent cx="3368283" cy="2997200"/>
            <wp:effectExtent l="0" t="0" r="3810" b="0"/>
            <wp:docPr id="23522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27013" name=""/>
                    <pic:cNvPicPr/>
                  </pic:nvPicPr>
                  <pic:blipFill>
                    <a:blip r:embed="rId12"/>
                    <a:stretch>
                      <a:fillRect/>
                    </a:stretch>
                  </pic:blipFill>
                  <pic:spPr>
                    <a:xfrm>
                      <a:off x="0" y="0"/>
                      <a:ext cx="3376509" cy="3004519"/>
                    </a:xfrm>
                    <a:prstGeom prst="rect">
                      <a:avLst/>
                    </a:prstGeom>
                  </pic:spPr>
                </pic:pic>
              </a:graphicData>
            </a:graphic>
          </wp:inline>
        </w:drawing>
      </w:r>
    </w:p>
    <w:p w14:paraId="0F396A70" w14:textId="77777777" w:rsidR="00127E2E" w:rsidRPr="00127E2E" w:rsidRDefault="00127E2E" w:rsidP="00127E2E">
      <w:pPr>
        <w:pStyle w:val="Heading2"/>
        <w:pBdr>
          <w:top w:val="single" w:sz="6" w:space="23" w:color="EBEBEB"/>
        </w:pBdr>
        <w:shd w:val="clear" w:color="auto" w:fill="FFFFFF"/>
        <w:spacing w:before="0" w:line="330" w:lineRule="atLeast"/>
        <w:jc w:val="both"/>
        <w:rPr>
          <w:rFonts w:ascii="Times New Roman" w:hAnsi="Times New Roman" w:cs="Times New Roman"/>
          <w:color w:val="auto"/>
          <w:spacing w:val="-2"/>
          <w:sz w:val="24"/>
          <w:szCs w:val="24"/>
        </w:rPr>
      </w:pPr>
      <w:r w:rsidRPr="00127E2E">
        <w:rPr>
          <w:rFonts w:ascii="Times New Roman" w:hAnsi="Times New Roman" w:cs="Times New Roman"/>
          <w:b/>
          <w:bCs/>
          <w:color w:val="auto"/>
          <w:spacing w:val="-2"/>
          <w:sz w:val="24"/>
          <w:szCs w:val="24"/>
        </w:rPr>
        <w:t>Taste sensation</w:t>
      </w:r>
    </w:p>
    <w:p w14:paraId="28B5097B"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 xml:space="preserve">To understand the anatomical aspect of taste sensation, let's briefly describe the sensory innervation of the </w:t>
      </w:r>
      <w:proofErr w:type="spellStart"/>
      <w:proofErr w:type="gramStart"/>
      <w:r w:rsidRPr="00127E2E">
        <w:rPr>
          <w:spacing w:val="-2"/>
        </w:rPr>
        <w:t>tongue.Almost</w:t>
      </w:r>
      <w:proofErr w:type="spellEnd"/>
      <w:proofErr w:type="gramEnd"/>
      <w:r w:rsidRPr="00127E2E">
        <w:rPr>
          <w:spacing w:val="-2"/>
        </w:rPr>
        <w:t xml:space="preserve"> every organ in the human body, including the tongue, can detect </w:t>
      </w:r>
      <w:r w:rsidRPr="00127E2E">
        <w:rPr>
          <w:rStyle w:val="Strong"/>
          <w:b w:val="0"/>
          <w:bCs w:val="0"/>
          <w:spacing w:val="-2"/>
        </w:rPr>
        <w:t>general sensory</w:t>
      </w:r>
      <w:r w:rsidRPr="00127E2E">
        <w:rPr>
          <w:spacing w:val="-2"/>
        </w:rPr>
        <w:t xml:space="preserve"> stimulation (general somatic afferent </w:t>
      </w:r>
      <w:proofErr w:type="spellStart"/>
      <w:r w:rsidRPr="00127E2E">
        <w:rPr>
          <w:spacing w:val="-2"/>
        </w:rPr>
        <w:t>fibers</w:t>
      </w:r>
      <w:proofErr w:type="spellEnd"/>
      <w:r w:rsidRPr="00127E2E">
        <w:rPr>
          <w:spacing w:val="-2"/>
        </w:rPr>
        <w:t>), that is temperature, touch, and pain. General sensory innervation of the tongue is enabled by the </w:t>
      </w:r>
      <w:r w:rsidRPr="00127E2E">
        <w:rPr>
          <w:rStyle w:val="Strong"/>
          <w:b w:val="0"/>
          <w:bCs w:val="0"/>
          <w:spacing w:val="-2"/>
        </w:rPr>
        <w:t>lingual nerve</w:t>
      </w:r>
      <w:r w:rsidRPr="00127E2E">
        <w:rPr>
          <w:spacing w:val="-2"/>
        </w:rPr>
        <w:t> (a branch of the </w:t>
      </w:r>
      <w:hyperlink r:id="rId13" w:history="1">
        <w:r w:rsidRPr="00127E2E">
          <w:rPr>
            <w:rStyle w:val="Hyperlink"/>
            <w:color w:val="auto"/>
            <w:spacing w:val="-2"/>
          </w:rPr>
          <w:t>mandibular nerve CN V3</w:t>
        </w:r>
      </w:hyperlink>
      <w:r w:rsidRPr="00127E2E">
        <w:rPr>
          <w:spacing w:val="-2"/>
        </w:rPr>
        <w:t>) and </w:t>
      </w:r>
      <w:hyperlink r:id="rId14" w:history="1">
        <w:r w:rsidRPr="00127E2E">
          <w:rPr>
            <w:rStyle w:val="Hyperlink"/>
            <w:color w:val="auto"/>
            <w:spacing w:val="-2"/>
          </w:rPr>
          <w:t>glossopharyngeal nerve (CN IX)</w:t>
        </w:r>
      </w:hyperlink>
      <w:r w:rsidRPr="00127E2E">
        <w:rPr>
          <w:spacing w:val="-2"/>
        </w:rPr>
        <w:t>, where the former innervates the anterior two-thirds of the tongue, while the latter supplies the posterior one-third of the tongue.</w:t>
      </w:r>
    </w:p>
    <w:p w14:paraId="44396F67"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On the other hand, every organ specialized for a specific sensation, like the tongue is for taste, also has </w:t>
      </w:r>
      <w:r w:rsidRPr="00127E2E">
        <w:rPr>
          <w:rStyle w:val="Strong"/>
          <w:b w:val="0"/>
          <w:bCs w:val="0"/>
          <w:spacing w:val="-2"/>
        </w:rPr>
        <w:t>special sensory</w:t>
      </w:r>
      <w:r w:rsidRPr="00127E2E">
        <w:rPr>
          <w:spacing w:val="-2"/>
        </w:rPr>
        <w:t> innervation. The senses of taste and </w:t>
      </w:r>
      <w:hyperlink r:id="rId15" w:history="1">
        <w:r w:rsidRPr="00127E2E">
          <w:rPr>
            <w:rStyle w:val="Hyperlink"/>
            <w:color w:val="auto"/>
            <w:spacing w:val="-2"/>
          </w:rPr>
          <w:t>olfaction</w:t>
        </w:r>
      </w:hyperlink>
      <w:r w:rsidRPr="00127E2E">
        <w:rPr>
          <w:spacing w:val="-2"/>
        </w:rPr>
        <w:t xml:space="preserve"> (smell) are carried by special visceral afferent </w:t>
      </w:r>
      <w:proofErr w:type="spellStart"/>
      <w:r w:rsidRPr="00127E2E">
        <w:rPr>
          <w:spacing w:val="-2"/>
        </w:rPr>
        <w:t>fibers</w:t>
      </w:r>
      <w:proofErr w:type="spellEnd"/>
      <w:r w:rsidRPr="00127E2E">
        <w:rPr>
          <w:spacing w:val="-2"/>
        </w:rPr>
        <w:t xml:space="preserve"> in </w:t>
      </w:r>
      <w:hyperlink r:id="rId16" w:history="1">
        <w:r w:rsidRPr="00127E2E">
          <w:rPr>
            <w:rStyle w:val="Hyperlink"/>
            <w:color w:val="auto"/>
            <w:spacing w:val="-2"/>
          </w:rPr>
          <w:t>cranial nerves</w:t>
        </w:r>
      </w:hyperlink>
      <w:r w:rsidRPr="00127E2E">
        <w:rPr>
          <w:spacing w:val="-2"/>
        </w:rPr>
        <w:t>. The sense of taste is mediated by the </w:t>
      </w:r>
      <w:hyperlink r:id="rId17" w:history="1">
        <w:r w:rsidRPr="00127E2E">
          <w:rPr>
            <w:rStyle w:val="Hyperlink"/>
            <w:color w:val="auto"/>
            <w:spacing w:val="-2"/>
          </w:rPr>
          <w:t>facial (CN VII)</w:t>
        </w:r>
      </w:hyperlink>
      <w:r w:rsidRPr="00127E2E">
        <w:rPr>
          <w:spacing w:val="-2"/>
        </w:rPr>
        <w:t> and glossopharyngeal (CN IX) nerves. Even though taste receptors and their innervation will be discussed in the following sections of this article, right now, for the sake of the later recap, take the following two sentences for granted: </w:t>
      </w:r>
    </w:p>
    <w:p w14:paraId="6A739357" w14:textId="77777777" w:rsidR="00127E2E" w:rsidRPr="00127E2E" w:rsidRDefault="00127E2E" w:rsidP="00127E2E">
      <w:pPr>
        <w:numPr>
          <w:ilvl w:val="0"/>
          <w:numId w:val="35"/>
        </w:numPr>
        <w:shd w:val="clear" w:color="auto" w:fill="FFFFFF"/>
        <w:spacing w:before="100" w:beforeAutospacing="1" w:after="75" w:line="240" w:lineRule="auto"/>
        <w:jc w:val="both"/>
        <w:rPr>
          <w:rFonts w:ascii="Times New Roman" w:hAnsi="Times New Roman" w:cs="Times New Roman"/>
          <w:spacing w:val="-2"/>
          <w:sz w:val="24"/>
          <w:szCs w:val="24"/>
        </w:rPr>
      </w:pPr>
      <w:r w:rsidRPr="00127E2E">
        <w:rPr>
          <w:rFonts w:ascii="Times New Roman" w:hAnsi="Times New Roman" w:cs="Times New Roman"/>
          <w:spacing w:val="-2"/>
          <w:sz w:val="24"/>
          <w:szCs w:val="24"/>
        </w:rPr>
        <w:t>Taste receptors are found within three out of four types of lingual papillae, and those from the anterior two-thirds of the tongue, except for the </w:t>
      </w:r>
      <w:hyperlink r:id="rId18" w:history="1">
        <w:r w:rsidRPr="00127E2E">
          <w:rPr>
            <w:rStyle w:val="Hyperlink"/>
            <w:rFonts w:ascii="Times New Roman" w:hAnsi="Times New Roman" w:cs="Times New Roman"/>
            <w:color w:val="auto"/>
            <w:spacing w:val="-2"/>
            <w:sz w:val="24"/>
            <w:szCs w:val="24"/>
          </w:rPr>
          <w:t>vallate papilla</w:t>
        </w:r>
      </w:hyperlink>
      <w:r w:rsidRPr="00127E2E">
        <w:rPr>
          <w:rFonts w:ascii="Times New Roman" w:hAnsi="Times New Roman" w:cs="Times New Roman"/>
          <w:spacing w:val="-2"/>
          <w:sz w:val="24"/>
          <w:szCs w:val="24"/>
        </w:rPr>
        <w:t>e, are innervated by the </w:t>
      </w:r>
      <w:hyperlink r:id="rId19" w:history="1">
        <w:r w:rsidRPr="00127E2E">
          <w:rPr>
            <w:rStyle w:val="Hyperlink"/>
            <w:rFonts w:ascii="Times New Roman" w:hAnsi="Times New Roman" w:cs="Times New Roman"/>
            <w:color w:val="auto"/>
            <w:spacing w:val="-2"/>
            <w:sz w:val="24"/>
            <w:szCs w:val="24"/>
          </w:rPr>
          <w:t>chorda tympani</w:t>
        </w:r>
      </w:hyperlink>
      <w:r w:rsidRPr="00127E2E">
        <w:rPr>
          <w:rFonts w:ascii="Times New Roman" w:hAnsi="Times New Roman" w:cs="Times New Roman"/>
          <w:spacing w:val="-2"/>
          <w:sz w:val="24"/>
          <w:szCs w:val="24"/>
        </w:rPr>
        <w:t> (a branch of the facial nerve)</w:t>
      </w:r>
    </w:p>
    <w:p w14:paraId="6EE85109" w14:textId="77777777" w:rsidR="00127E2E" w:rsidRPr="00127E2E" w:rsidRDefault="00127E2E" w:rsidP="00127E2E">
      <w:pPr>
        <w:numPr>
          <w:ilvl w:val="0"/>
          <w:numId w:val="35"/>
        </w:numPr>
        <w:shd w:val="clear" w:color="auto" w:fill="FFFFFF"/>
        <w:spacing w:before="100" w:beforeAutospacing="1" w:after="75" w:line="240" w:lineRule="auto"/>
        <w:jc w:val="both"/>
        <w:rPr>
          <w:rFonts w:ascii="Times New Roman" w:hAnsi="Times New Roman" w:cs="Times New Roman"/>
          <w:spacing w:val="-2"/>
          <w:sz w:val="24"/>
          <w:szCs w:val="24"/>
        </w:rPr>
      </w:pPr>
      <w:r w:rsidRPr="00127E2E">
        <w:rPr>
          <w:rFonts w:ascii="Times New Roman" w:hAnsi="Times New Roman" w:cs="Times New Roman"/>
          <w:spacing w:val="-2"/>
          <w:sz w:val="24"/>
          <w:szCs w:val="24"/>
        </w:rPr>
        <w:lastRenderedPageBreak/>
        <w:t>All receptors from the posterior one-third of the tongue are innervated by the glossopharyngeal nerve</w:t>
      </w:r>
    </w:p>
    <w:p w14:paraId="28C90C28" w14:textId="77777777" w:rsidR="00127E2E" w:rsidRPr="00127E2E" w:rsidRDefault="00127E2E" w:rsidP="00127E2E">
      <w:pPr>
        <w:pStyle w:val="Heading3"/>
        <w:shd w:val="clear" w:color="auto" w:fill="FFFFFF"/>
        <w:spacing w:before="0" w:beforeAutospacing="0" w:after="0" w:afterAutospacing="0" w:line="300" w:lineRule="atLeast"/>
        <w:jc w:val="both"/>
        <w:rPr>
          <w:spacing w:val="-2"/>
          <w:sz w:val="24"/>
          <w:szCs w:val="24"/>
        </w:rPr>
      </w:pPr>
      <w:r w:rsidRPr="00127E2E">
        <w:rPr>
          <w:spacing w:val="-2"/>
          <w:sz w:val="24"/>
          <w:szCs w:val="24"/>
        </w:rPr>
        <w:t>Taste buds</w:t>
      </w:r>
    </w:p>
    <w:p w14:paraId="25B88D57"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As previously said, </w:t>
      </w:r>
      <w:hyperlink r:id="rId20" w:history="1">
        <w:r w:rsidRPr="00127E2E">
          <w:rPr>
            <w:rStyle w:val="Hyperlink"/>
            <w:color w:val="auto"/>
            <w:spacing w:val="-2"/>
          </w:rPr>
          <w:t>taste buds</w:t>
        </w:r>
      </w:hyperlink>
      <w:r w:rsidRPr="00127E2E">
        <w:rPr>
          <w:spacing w:val="-2"/>
        </w:rPr>
        <w:t> contain the gustatory receptors cells which allow us to detect taste. The receptors are found within the lingual papillae, and they allow us to detect five types of taste: sweet, salty, bitter, sour, and umami.</w:t>
      </w:r>
    </w:p>
    <w:p w14:paraId="3412FD46" w14:textId="77777777" w:rsidR="00127E2E" w:rsidRP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The specific distribution of the receptors enables us to map the tongue based on types of taste, so that the apex predominantly detects sweetness, the lateral margins detect saltiness, the posterior part is for bitterness and sourness, while umami is detected equally in all parts. Most taste buds are found on the dorsal surface of the tongue, but they are also present on the soft palate, pharynx, </w:t>
      </w:r>
      <w:hyperlink r:id="rId21" w:history="1">
        <w:r w:rsidRPr="00127E2E">
          <w:rPr>
            <w:rStyle w:val="Hyperlink"/>
            <w:color w:val="auto"/>
            <w:spacing w:val="-2"/>
          </w:rPr>
          <w:t>larynx</w:t>
        </w:r>
      </w:hyperlink>
      <w:r w:rsidRPr="00127E2E">
        <w:rPr>
          <w:spacing w:val="-2"/>
        </w:rPr>
        <w:t>, and epiglottis.</w:t>
      </w:r>
    </w:p>
    <w:p w14:paraId="578B48E2" w14:textId="77777777" w:rsidR="00127E2E" w:rsidRDefault="00127E2E" w:rsidP="00127E2E">
      <w:pPr>
        <w:pStyle w:val="NormalWeb"/>
        <w:shd w:val="clear" w:color="auto" w:fill="FFFFFF"/>
        <w:spacing w:before="0" w:beforeAutospacing="0" w:after="300" w:afterAutospacing="0" w:line="390" w:lineRule="atLeast"/>
        <w:jc w:val="both"/>
        <w:rPr>
          <w:spacing w:val="-2"/>
        </w:rPr>
      </w:pPr>
      <w:r w:rsidRPr="00127E2E">
        <w:rPr>
          <w:spacing w:val="-2"/>
        </w:rPr>
        <w:t xml:space="preserve">Taste buds are located in different places within each </w:t>
      </w:r>
      <w:proofErr w:type="gramStart"/>
      <w:r w:rsidRPr="00127E2E">
        <w:rPr>
          <w:spacing w:val="-2"/>
        </w:rPr>
        <w:t>papillae</w:t>
      </w:r>
      <w:proofErr w:type="gramEnd"/>
      <w:r w:rsidRPr="00127E2E">
        <w:rPr>
          <w:spacing w:val="-2"/>
        </w:rPr>
        <w:t>. In foliate and vallate papillae they are in the </w:t>
      </w:r>
      <w:hyperlink r:id="rId22" w:history="1">
        <w:r w:rsidRPr="00127E2E">
          <w:rPr>
            <w:rStyle w:val="Hyperlink"/>
            <w:color w:val="auto"/>
            <w:spacing w:val="-2"/>
          </w:rPr>
          <w:t>epithelium</w:t>
        </w:r>
      </w:hyperlink>
      <w:r w:rsidRPr="00127E2E">
        <w:rPr>
          <w:spacing w:val="-2"/>
        </w:rPr>
        <w:t> of their lateral surface, whereas in the fungiform papillae they are present in their apical epithelium. On the other hand, not all taste buds are innervated by the same nerve. The buds on the anterior two-thirds of the tongue and the soft palate are innervated by the </w:t>
      </w:r>
      <w:r w:rsidRPr="00127E2E">
        <w:rPr>
          <w:rStyle w:val="Strong"/>
          <w:b w:val="0"/>
          <w:bCs w:val="0"/>
          <w:spacing w:val="-2"/>
        </w:rPr>
        <w:t>chorda tympani</w:t>
      </w:r>
      <w:r w:rsidRPr="00127E2E">
        <w:rPr>
          <w:spacing w:val="-2"/>
        </w:rPr>
        <w:t>, a branch of the facial nerve (CN VII). Those within the posterior one-third of the tongue (including all vallate papillae) and the pharynx are innervated by the </w:t>
      </w:r>
      <w:r w:rsidRPr="00127E2E">
        <w:rPr>
          <w:rStyle w:val="Strong"/>
          <w:b w:val="0"/>
          <w:bCs w:val="0"/>
          <w:spacing w:val="-2"/>
        </w:rPr>
        <w:t>glossopharyngeal nerve</w:t>
      </w:r>
      <w:r w:rsidRPr="00127E2E">
        <w:rPr>
          <w:spacing w:val="-2"/>
        </w:rPr>
        <w:t> (CN IX). The </w:t>
      </w:r>
      <w:proofErr w:type="spellStart"/>
      <w:r w:rsidRPr="00127E2E">
        <w:rPr>
          <w:rStyle w:val="Strong"/>
          <w:b w:val="0"/>
          <w:bCs w:val="0"/>
          <w:spacing w:val="-2"/>
        </w:rPr>
        <w:t>vagus</w:t>
      </w:r>
      <w:proofErr w:type="spellEnd"/>
      <w:r w:rsidRPr="00127E2E">
        <w:rPr>
          <w:rStyle w:val="Strong"/>
          <w:b w:val="0"/>
          <w:bCs w:val="0"/>
          <w:spacing w:val="-2"/>
        </w:rPr>
        <w:t xml:space="preserve"> nerve</w:t>
      </w:r>
      <w:r w:rsidRPr="00127E2E">
        <w:rPr>
          <w:spacing w:val="-2"/>
        </w:rPr>
        <w:t> (CN X) innervates the remaining taste buds in the larynx and epiglottis.</w:t>
      </w:r>
    </w:p>
    <w:p w14:paraId="65A6082E" w14:textId="77777777" w:rsidR="00CA44D3" w:rsidRPr="00CA44D3" w:rsidRDefault="00CA44D3" w:rsidP="00CA44D3">
      <w:pPr>
        <w:shd w:val="clear" w:color="auto" w:fill="FFFFFF"/>
        <w:spacing w:after="300" w:line="390" w:lineRule="atLeast"/>
        <w:jc w:val="both"/>
        <w:rPr>
          <w:rFonts w:ascii="Times New Roman" w:eastAsia="Times New Roman" w:hAnsi="Times New Roman" w:cs="Times New Roman"/>
          <w:spacing w:val="-2"/>
          <w:sz w:val="24"/>
          <w:szCs w:val="24"/>
          <w:lang w:val="en-IN" w:eastAsia="en-IN"/>
        </w:rPr>
      </w:pPr>
      <w:r w:rsidRPr="00CA44D3">
        <w:rPr>
          <w:rFonts w:ascii="Times New Roman" w:eastAsia="Times New Roman" w:hAnsi="Times New Roman" w:cs="Times New Roman"/>
          <w:spacing w:val="-2"/>
          <w:sz w:val="24"/>
          <w:szCs w:val="24"/>
          <w:lang w:val="en-IN" w:eastAsia="en-IN"/>
        </w:rPr>
        <w:t>There are three types of cells found within taste buds: </w:t>
      </w:r>
    </w:p>
    <w:p w14:paraId="2D94C486" w14:textId="77777777" w:rsidR="00CA44D3" w:rsidRPr="00CA44D3" w:rsidRDefault="00CA44D3" w:rsidP="00CA44D3">
      <w:pPr>
        <w:numPr>
          <w:ilvl w:val="0"/>
          <w:numId w:val="36"/>
        </w:numPr>
        <w:shd w:val="clear" w:color="auto" w:fill="FFFFFF"/>
        <w:spacing w:before="100" w:beforeAutospacing="1" w:after="75" w:line="240" w:lineRule="auto"/>
        <w:jc w:val="both"/>
        <w:rPr>
          <w:rFonts w:ascii="Times New Roman" w:eastAsia="Times New Roman" w:hAnsi="Times New Roman" w:cs="Times New Roman"/>
          <w:spacing w:val="-2"/>
          <w:sz w:val="24"/>
          <w:szCs w:val="24"/>
          <w:lang w:val="en-IN" w:eastAsia="en-IN"/>
        </w:rPr>
      </w:pPr>
      <w:r w:rsidRPr="00CA44D3">
        <w:rPr>
          <w:rFonts w:ascii="Times New Roman" w:eastAsia="Times New Roman" w:hAnsi="Times New Roman" w:cs="Times New Roman"/>
          <w:spacing w:val="-2"/>
          <w:sz w:val="24"/>
          <w:szCs w:val="24"/>
          <w:lang w:val="en-IN" w:eastAsia="en-IN"/>
        </w:rPr>
        <w:t xml:space="preserve">Neuroepithelial cells – sensory cells that extend from the basal lamina to the taste pore. Their microvilli project into the pore and detect chemical stimuli (taste) from food. They synapse with the facial, glossopharyngeal, or </w:t>
      </w:r>
      <w:proofErr w:type="spellStart"/>
      <w:r w:rsidRPr="00CA44D3">
        <w:rPr>
          <w:rFonts w:ascii="Times New Roman" w:eastAsia="Times New Roman" w:hAnsi="Times New Roman" w:cs="Times New Roman"/>
          <w:spacing w:val="-2"/>
          <w:sz w:val="24"/>
          <w:szCs w:val="24"/>
          <w:lang w:val="en-IN" w:eastAsia="en-IN"/>
        </w:rPr>
        <w:t>vagus</w:t>
      </w:r>
      <w:proofErr w:type="spellEnd"/>
      <w:r w:rsidRPr="00CA44D3">
        <w:rPr>
          <w:rFonts w:ascii="Times New Roman" w:eastAsia="Times New Roman" w:hAnsi="Times New Roman" w:cs="Times New Roman"/>
          <w:spacing w:val="-2"/>
          <w:sz w:val="24"/>
          <w:szCs w:val="24"/>
          <w:lang w:val="en-IN" w:eastAsia="en-IN"/>
        </w:rPr>
        <w:t xml:space="preserve"> nerve to send taste information to the central nervous system</w:t>
      </w:r>
    </w:p>
    <w:p w14:paraId="3F440D2A" w14:textId="77777777" w:rsidR="00CA44D3" w:rsidRPr="00CA44D3" w:rsidRDefault="00CA44D3" w:rsidP="00CA44D3">
      <w:pPr>
        <w:numPr>
          <w:ilvl w:val="0"/>
          <w:numId w:val="36"/>
        </w:numPr>
        <w:shd w:val="clear" w:color="auto" w:fill="FFFFFF"/>
        <w:spacing w:before="100" w:beforeAutospacing="1" w:after="75" w:line="240" w:lineRule="auto"/>
        <w:jc w:val="both"/>
        <w:rPr>
          <w:rFonts w:ascii="Times New Roman" w:eastAsia="Times New Roman" w:hAnsi="Times New Roman" w:cs="Times New Roman"/>
          <w:spacing w:val="-2"/>
          <w:sz w:val="24"/>
          <w:szCs w:val="24"/>
          <w:lang w:val="en-IN" w:eastAsia="en-IN"/>
        </w:rPr>
      </w:pPr>
      <w:r w:rsidRPr="00CA44D3">
        <w:rPr>
          <w:rFonts w:ascii="Times New Roman" w:eastAsia="Times New Roman" w:hAnsi="Times New Roman" w:cs="Times New Roman"/>
          <w:spacing w:val="-2"/>
          <w:sz w:val="24"/>
          <w:szCs w:val="24"/>
          <w:lang w:val="en-IN" w:eastAsia="en-IN"/>
        </w:rPr>
        <w:t>Supporting cells – also extend from the basal lamina to the taste pore. They provide mechanical support to the taste bud and neuroepithelial cells</w:t>
      </w:r>
    </w:p>
    <w:p w14:paraId="30B9DED9" w14:textId="77777777" w:rsidR="00CA44D3" w:rsidRPr="00CA44D3" w:rsidRDefault="00CA44D3" w:rsidP="00CA44D3">
      <w:pPr>
        <w:numPr>
          <w:ilvl w:val="0"/>
          <w:numId w:val="36"/>
        </w:numPr>
        <w:shd w:val="clear" w:color="auto" w:fill="FFFFFF"/>
        <w:spacing w:before="100" w:beforeAutospacing="1" w:after="75" w:line="240" w:lineRule="auto"/>
        <w:jc w:val="both"/>
        <w:rPr>
          <w:rFonts w:ascii="Times New Roman" w:eastAsia="Times New Roman" w:hAnsi="Times New Roman" w:cs="Times New Roman"/>
          <w:spacing w:val="-2"/>
          <w:sz w:val="24"/>
          <w:szCs w:val="24"/>
          <w:lang w:val="en-IN" w:eastAsia="en-IN"/>
        </w:rPr>
      </w:pPr>
      <w:r w:rsidRPr="00CA44D3">
        <w:rPr>
          <w:rFonts w:ascii="Times New Roman" w:eastAsia="Times New Roman" w:hAnsi="Times New Roman" w:cs="Times New Roman"/>
          <w:spacing w:val="-2"/>
          <w:sz w:val="24"/>
          <w:szCs w:val="24"/>
          <w:lang w:val="en-IN" w:eastAsia="en-IN"/>
        </w:rPr>
        <w:t>Basal cells – line the basal lamina of the taste bud. They are short (do not reach the pore) stem cells for the neuroepithelial and basal cells.</w:t>
      </w:r>
    </w:p>
    <w:p w14:paraId="40A7B59E" w14:textId="77777777" w:rsidR="00CA44D3" w:rsidRPr="00CA44D3" w:rsidRDefault="00CA44D3" w:rsidP="00CA44D3">
      <w:pPr>
        <w:pStyle w:val="NormalWeb"/>
        <w:shd w:val="clear" w:color="auto" w:fill="FFFFFF"/>
        <w:spacing w:before="0" w:beforeAutospacing="0" w:after="300" w:afterAutospacing="0" w:line="390" w:lineRule="atLeast"/>
        <w:jc w:val="both"/>
        <w:rPr>
          <w:spacing w:val="-2"/>
        </w:rPr>
      </w:pPr>
    </w:p>
    <w:p w14:paraId="1577F9DE" w14:textId="0F868E70" w:rsidR="00127E2E" w:rsidRPr="00127E2E" w:rsidRDefault="00127E2E" w:rsidP="00127E2E">
      <w:pPr>
        <w:pStyle w:val="Heading4"/>
        <w:shd w:val="clear" w:color="auto" w:fill="FFFFFF"/>
        <w:spacing w:before="0" w:line="315" w:lineRule="atLeast"/>
        <w:jc w:val="both"/>
        <w:rPr>
          <w:rFonts w:ascii="Times New Roman" w:hAnsi="Times New Roman" w:cs="Times New Roman"/>
          <w:color w:val="auto"/>
          <w:spacing w:val="-2"/>
          <w:sz w:val="24"/>
          <w:szCs w:val="24"/>
        </w:rPr>
      </w:pPr>
    </w:p>
    <w:p w14:paraId="3F3DC244" w14:textId="77777777" w:rsidR="00127E2E" w:rsidRPr="00127E2E" w:rsidRDefault="00127E2E" w:rsidP="00127E2E">
      <w:pPr>
        <w:jc w:val="both"/>
        <w:rPr>
          <w:rFonts w:ascii="Times New Roman" w:hAnsi="Times New Roman" w:cs="Times New Roman"/>
          <w:sz w:val="24"/>
          <w:szCs w:val="24"/>
        </w:rPr>
      </w:pPr>
    </w:p>
    <w:sectPr w:rsidR="00127E2E" w:rsidRPr="00127E2E" w:rsidSect="0050689C">
      <w:headerReference w:type="even" r:id="rId23"/>
      <w:headerReference w:type="default" r:id="rId24"/>
      <w:footerReference w:type="default" r:id="rId25"/>
      <w:headerReference w:type="first" r:id="rId26"/>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58D6A" w14:textId="77777777" w:rsidR="00580A21" w:rsidRDefault="00580A21" w:rsidP="00DB570F">
      <w:pPr>
        <w:spacing w:after="0" w:line="240" w:lineRule="auto"/>
      </w:pPr>
      <w:r>
        <w:separator/>
      </w:r>
    </w:p>
  </w:endnote>
  <w:endnote w:type="continuationSeparator" w:id="0">
    <w:p w14:paraId="0B75D4FA" w14:textId="77777777" w:rsidR="00580A21" w:rsidRDefault="00580A21"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A63A1" w14:textId="77777777" w:rsidR="00580A21" w:rsidRDefault="00580A21" w:rsidP="00DB570F">
      <w:pPr>
        <w:spacing w:after="0" w:line="240" w:lineRule="auto"/>
      </w:pPr>
      <w:r>
        <w:separator/>
      </w:r>
    </w:p>
  </w:footnote>
  <w:footnote w:type="continuationSeparator" w:id="0">
    <w:p w14:paraId="395423DC" w14:textId="77777777" w:rsidR="00580A21" w:rsidRDefault="00580A21"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36A32"/>
    <w:multiLevelType w:val="multilevel"/>
    <w:tmpl w:val="A544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3520C"/>
    <w:multiLevelType w:val="multilevel"/>
    <w:tmpl w:val="C886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9F4ACF"/>
    <w:multiLevelType w:val="multilevel"/>
    <w:tmpl w:val="31D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4"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26"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1408B1"/>
    <w:multiLevelType w:val="multilevel"/>
    <w:tmpl w:val="226E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9256D"/>
    <w:multiLevelType w:val="multilevel"/>
    <w:tmpl w:val="FC18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1C3ECF"/>
    <w:multiLevelType w:val="hybridMultilevel"/>
    <w:tmpl w:val="6EB21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9"/>
  </w:num>
  <w:num w:numId="2" w16cid:durableId="882788327">
    <w:abstractNumId w:val="9"/>
  </w:num>
  <w:num w:numId="3" w16cid:durableId="534850071">
    <w:abstractNumId w:val="20"/>
  </w:num>
  <w:num w:numId="4" w16cid:durableId="1540898263">
    <w:abstractNumId w:val="4"/>
  </w:num>
  <w:num w:numId="5" w16cid:durableId="668142752">
    <w:abstractNumId w:val="14"/>
  </w:num>
  <w:num w:numId="6" w16cid:durableId="345982275">
    <w:abstractNumId w:val="35"/>
  </w:num>
  <w:num w:numId="7" w16cid:durableId="767699102">
    <w:abstractNumId w:val="29"/>
  </w:num>
  <w:num w:numId="8" w16cid:durableId="1226799421">
    <w:abstractNumId w:val="30"/>
  </w:num>
  <w:num w:numId="9" w16cid:durableId="2052609626">
    <w:abstractNumId w:val="6"/>
  </w:num>
  <w:num w:numId="10" w16cid:durableId="726688945">
    <w:abstractNumId w:val="22"/>
  </w:num>
  <w:num w:numId="11" w16cid:durableId="1976523410">
    <w:abstractNumId w:val="31"/>
  </w:num>
  <w:num w:numId="12" w16cid:durableId="1715080619">
    <w:abstractNumId w:val="16"/>
  </w:num>
  <w:num w:numId="13" w16cid:durableId="408309329">
    <w:abstractNumId w:val="11"/>
  </w:num>
  <w:num w:numId="14" w16cid:durableId="1670133351">
    <w:abstractNumId w:val="15"/>
  </w:num>
  <w:num w:numId="15" w16cid:durableId="426121996">
    <w:abstractNumId w:val="17"/>
  </w:num>
  <w:num w:numId="16" w16cid:durableId="1423067022">
    <w:abstractNumId w:val="27"/>
  </w:num>
  <w:num w:numId="17" w16cid:durableId="1010762584">
    <w:abstractNumId w:val="28"/>
  </w:num>
  <w:num w:numId="18" w16cid:durableId="276566774">
    <w:abstractNumId w:val="12"/>
  </w:num>
  <w:num w:numId="19" w16cid:durableId="118181860">
    <w:abstractNumId w:val="1"/>
  </w:num>
  <w:num w:numId="20" w16cid:durableId="1549562969">
    <w:abstractNumId w:val="0"/>
  </w:num>
  <w:num w:numId="21" w16cid:durableId="362099673">
    <w:abstractNumId w:val="2"/>
  </w:num>
  <w:num w:numId="22" w16cid:durableId="849608755">
    <w:abstractNumId w:val="21"/>
  </w:num>
  <w:num w:numId="23" w16cid:durableId="1087266761">
    <w:abstractNumId w:val="34"/>
  </w:num>
  <w:num w:numId="24" w16cid:durableId="2041590441">
    <w:abstractNumId w:val="23"/>
  </w:num>
  <w:num w:numId="25" w16cid:durableId="1139228070">
    <w:abstractNumId w:val="18"/>
  </w:num>
  <w:num w:numId="26" w16cid:durableId="770853614">
    <w:abstractNumId w:val="7"/>
  </w:num>
  <w:num w:numId="27" w16cid:durableId="1004474068">
    <w:abstractNumId w:val="24"/>
  </w:num>
  <w:num w:numId="28" w16cid:durableId="1163619720">
    <w:abstractNumId w:val="25"/>
  </w:num>
  <w:num w:numId="29" w16cid:durableId="245041367">
    <w:abstractNumId w:val="26"/>
  </w:num>
  <w:num w:numId="30" w16cid:durableId="1435513938">
    <w:abstractNumId w:val="13"/>
  </w:num>
  <w:num w:numId="31" w16cid:durableId="1564872320">
    <w:abstractNumId w:val="10"/>
  </w:num>
  <w:num w:numId="32" w16cid:durableId="754517851">
    <w:abstractNumId w:val="5"/>
  </w:num>
  <w:num w:numId="33" w16cid:durableId="1203709468">
    <w:abstractNumId w:val="33"/>
  </w:num>
  <w:num w:numId="34" w16cid:durableId="256251841">
    <w:abstractNumId w:val="3"/>
  </w:num>
  <w:num w:numId="35" w16cid:durableId="1962879984">
    <w:abstractNumId w:val="8"/>
  </w:num>
  <w:num w:numId="36" w16cid:durableId="9162821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27E2E"/>
    <w:rsid w:val="00132D93"/>
    <w:rsid w:val="00177DF8"/>
    <w:rsid w:val="00196AB5"/>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70828"/>
    <w:rsid w:val="00580A21"/>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517CE"/>
    <w:rsid w:val="00997E8F"/>
    <w:rsid w:val="009A76D7"/>
    <w:rsid w:val="009C110A"/>
    <w:rsid w:val="009F7A85"/>
    <w:rsid w:val="00A01EA9"/>
    <w:rsid w:val="00A37C51"/>
    <w:rsid w:val="00AF052D"/>
    <w:rsid w:val="00B81CFF"/>
    <w:rsid w:val="00B9514D"/>
    <w:rsid w:val="00BA3D19"/>
    <w:rsid w:val="00BC37A9"/>
    <w:rsid w:val="00C30118"/>
    <w:rsid w:val="00C603C6"/>
    <w:rsid w:val="00CA44D3"/>
    <w:rsid w:val="00CA7378"/>
    <w:rsid w:val="00D075CB"/>
    <w:rsid w:val="00D22E0D"/>
    <w:rsid w:val="00D40022"/>
    <w:rsid w:val="00D43D7E"/>
    <w:rsid w:val="00DA1A81"/>
    <w:rsid w:val="00DB570F"/>
    <w:rsid w:val="00DF19A6"/>
    <w:rsid w:val="00E17D20"/>
    <w:rsid w:val="00E2197E"/>
    <w:rsid w:val="00E8546D"/>
    <w:rsid w:val="00F0040D"/>
    <w:rsid w:val="00F2198A"/>
    <w:rsid w:val="00F423D3"/>
    <w:rsid w:val="00F52E84"/>
    <w:rsid w:val="00F54B91"/>
    <w:rsid w:val="00FC13C1"/>
    <w:rsid w:val="00FE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2186">
      <w:bodyDiv w:val="1"/>
      <w:marLeft w:val="0"/>
      <w:marRight w:val="0"/>
      <w:marTop w:val="0"/>
      <w:marBottom w:val="0"/>
      <w:divBdr>
        <w:top w:val="none" w:sz="0" w:space="0" w:color="auto"/>
        <w:left w:val="none" w:sz="0" w:space="0" w:color="auto"/>
        <w:bottom w:val="none" w:sz="0" w:space="0" w:color="auto"/>
        <w:right w:val="none" w:sz="0" w:space="0" w:color="auto"/>
      </w:divBdr>
    </w:div>
    <w:div w:id="63845270">
      <w:bodyDiv w:val="1"/>
      <w:marLeft w:val="0"/>
      <w:marRight w:val="0"/>
      <w:marTop w:val="0"/>
      <w:marBottom w:val="0"/>
      <w:divBdr>
        <w:top w:val="none" w:sz="0" w:space="0" w:color="auto"/>
        <w:left w:val="none" w:sz="0" w:space="0" w:color="auto"/>
        <w:bottom w:val="none" w:sz="0" w:space="0" w:color="auto"/>
        <w:right w:val="none" w:sz="0" w:space="0" w:color="auto"/>
      </w:divBdr>
      <w:divsChild>
        <w:div w:id="1492939357">
          <w:marLeft w:val="0"/>
          <w:marRight w:val="0"/>
          <w:marTop w:val="0"/>
          <w:marBottom w:val="0"/>
          <w:divBdr>
            <w:top w:val="none" w:sz="0" w:space="0" w:color="auto"/>
            <w:left w:val="none" w:sz="0" w:space="0" w:color="auto"/>
            <w:bottom w:val="none" w:sz="0" w:space="0" w:color="auto"/>
            <w:right w:val="none" w:sz="0" w:space="0" w:color="auto"/>
          </w:divBdr>
          <w:divsChild>
            <w:div w:id="1186792033">
              <w:marLeft w:val="255"/>
              <w:marRight w:val="0"/>
              <w:marTop w:val="0"/>
              <w:marBottom w:val="300"/>
              <w:divBdr>
                <w:top w:val="single" w:sz="6" w:space="0" w:color="D8D8D8"/>
                <w:left w:val="single" w:sz="6" w:space="0" w:color="D8D8D8"/>
                <w:bottom w:val="single" w:sz="6" w:space="0" w:color="D8D8D8"/>
                <w:right w:val="single" w:sz="6" w:space="0" w:color="D8D8D8"/>
              </w:divBdr>
              <w:divsChild>
                <w:div w:id="1541017217">
                  <w:marLeft w:val="0"/>
                  <w:marRight w:val="0"/>
                  <w:marTop w:val="0"/>
                  <w:marBottom w:val="0"/>
                  <w:divBdr>
                    <w:top w:val="none" w:sz="0" w:space="0" w:color="auto"/>
                    <w:left w:val="none" w:sz="0" w:space="0" w:color="auto"/>
                    <w:bottom w:val="none" w:sz="0" w:space="0" w:color="auto"/>
                    <w:right w:val="none" w:sz="0" w:space="0" w:color="auto"/>
                  </w:divBdr>
                  <w:divsChild>
                    <w:div w:id="1073359610">
                      <w:marLeft w:val="0"/>
                      <w:marRight w:val="0"/>
                      <w:marTop w:val="0"/>
                      <w:marBottom w:val="0"/>
                      <w:divBdr>
                        <w:top w:val="none" w:sz="0" w:space="0" w:color="auto"/>
                        <w:left w:val="none" w:sz="0" w:space="0" w:color="auto"/>
                        <w:bottom w:val="none" w:sz="0" w:space="0" w:color="auto"/>
                        <w:right w:val="none" w:sz="0" w:space="0" w:color="auto"/>
                      </w:divBdr>
                      <w:divsChild>
                        <w:div w:id="985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8050">
                  <w:marLeft w:val="0"/>
                  <w:marRight w:val="0"/>
                  <w:marTop w:val="0"/>
                  <w:marBottom w:val="0"/>
                  <w:divBdr>
                    <w:top w:val="single" w:sz="6" w:space="0" w:color="D8D8D8"/>
                    <w:left w:val="none" w:sz="0" w:space="0" w:color="auto"/>
                    <w:bottom w:val="none" w:sz="0" w:space="0" w:color="auto"/>
                    <w:right w:val="none" w:sz="0" w:space="0" w:color="auto"/>
                  </w:divBdr>
                  <w:divsChild>
                    <w:div w:id="1548029034">
                      <w:marLeft w:val="0"/>
                      <w:marRight w:val="0"/>
                      <w:marTop w:val="0"/>
                      <w:marBottom w:val="0"/>
                      <w:divBdr>
                        <w:top w:val="none" w:sz="0" w:space="0" w:color="auto"/>
                        <w:left w:val="none" w:sz="0" w:space="0" w:color="auto"/>
                        <w:bottom w:val="none" w:sz="0" w:space="0" w:color="auto"/>
                        <w:right w:val="none" w:sz="0" w:space="0" w:color="auto"/>
                      </w:divBdr>
                      <w:divsChild>
                        <w:div w:id="1435586731">
                          <w:marLeft w:val="150"/>
                          <w:marRight w:val="225"/>
                          <w:marTop w:val="75"/>
                          <w:marBottom w:val="75"/>
                          <w:divBdr>
                            <w:top w:val="none" w:sz="0" w:space="0" w:color="auto"/>
                            <w:left w:val="none" w:sz="0" w:space="0" w:color="auto"/>
                            <w:bottom w:val="none" w:sz="0" w:space="0" w:color="auto"/>
                            <w:right w:val="none" w:sz="0" w:space="0" w:color="auto"/>
                          </w:divBdr>
                          <w:divsChild>
                            <w:div w:id="1469861749">
                              <w:marLeft w:val="0"/>
                              <w:marRight w:val="0"/>
                              <w:marTop w:val="0"/>
                              <w:marBottom w:val="0"/>
                              <w:divBdr>
                                <w:top w:val="none" w:sz="0" w:space="0" w:color="auto"/>
                                <w:left w:val="none" w:sz="0" w:space="0" w:color="auto"/>
                                <w:bottom w:val="none" w:sz="0" w:space="0" w:color="auto"/>
                                <w:right w:val="none" w:sz="0" w:space="0" w:color="auto"/>
                              </w:divBdr>
                              <w:divsChild>
                                <w:div w:id="1894852748">
                                  <w:marLeft w:val="0"/>
                                  <w:marRight w:val="0"/>
                                  <w:marTop w:val="0"/>
                                  <w:marBottom w:val="0"/>
                                  <w:divBdr>
                                    <w:top w:val="none" w:sz="0" w:space="0" w:color="auto"/>
                                    <w:left w:val="none" w:sz="0" w:space="0" w:color="auto"/>
                                    <w:bottom w:val="none" w:sz="0" w:space="0" w:color="auto"/>
                                    <w:right w:val="none" w:sz="0" w:space="0" w:color="auto"/>
                                  </w:divBdr>
                                </w:div>
                                <w:div w:id="488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266">
                          <w:marLeft w:val="0"/>
                          <w:marRight w:val="0"/>
                          <w:marTop w:val="0"/>
                          <w:marBottom w:val="0"/>
                          <w:divBdr>
                            <w:top w:val="none" w:sz="0" w:space="0" w:color="auto"/>
                            <w:left w:val="single" w:sz="6" w:space="8" w:color="D8D8D8"/>
                            <w:bottom w:val="none" w:sz="0" w:space="0" w:color="auto"/>
                            <w:right w:val="none" w:sz="0" w:space="0" w:color="auto"/>
                          </w:divBdr>
                        </w:div>
                      </w:divsChild>
                    </w:div>
                    <w:div w:id="1718158407">
                      <w:marLeft w:val="0"/>
                      <w:marRight w:val="0"/>
                      <w:marTop w:val="0"/>
                      <w:marBottom w:val="0"/>
                      <w:divBdr>
                        <w:top w:val="single" w:sz="6" w:space="4" w:color="D8D8D8"/>
                        <w:left w:val="none" w:sz="0" w:space="0" w:color="auto"/>
                        <w:bottom w:val="none" w:sz="0" w:space="0" w:color="auto"/>
                        <w:right w:val="none" w:sz="0" w:space="0" w:color="auto"/>
                      </w:divBdr>
                      <w:divsChild>
                        <w:div w:id="1346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46809780">
      <w:bodyDiv w:val="1"/>
      <w:marLeft w:val="0"/>
      <w:marRight w:val="0"/>
      <w:marTop w:val="0"/>
      <w:marBottom w:val="0"/>
      <w:divBdr>
        <w:top w:val="none" w:sz="0" w:space="0" w:color="auto"/>
        <w:left w:val="none" w:sz="0" w:space="0" w:color="auto"/>
        <w:bottom w:val="none" w:sz="0" w:space="0" w:color="auto"/>
        <w:right w:val="none" w:sz="0" w:space="0" w:color="auto"/>
      </w:divBdr>
      <w:divsChild>
        <w:div w:id="1781951029">
          <w:marLeft w:val="0"/>
          <w:marRight w:val="0"/>
          <w:marTop w:val="0"/>
          <w:marBottom w:val="0"/>
          <w:divBdr>
            <w:top w:val="none" w:sz="0" w:space="0" w:color="auto"/>
            <w:left w:val="none" w:sz="0" w:space="0" w:color="auto"/>
            <w:bottom w:val="none" w:sz="0" w:space="0" w:color="auto"/>
            <w:right w:val="none" w:sz="0" w:space="0" w:color="auto"/>
          </w:divBdr>
          <w:divsChild>
            <w:div w:id="1041323617">
              <w:marLeft w:val="255"/>
              <w:marRight w:val="0"/>
              <w:marTop w:val="0"/>
              <w:marBottom w:val="300"/>
              <w:divBdr>
                <w:top w:val="single" w:sz="6" w:space="0" w:color="D8D8D8"/>
                <w:left w:val="single" w:sz="6" w:space="0" w:color="D8D8D8"/>
                <w:bottom w:val="single" w:sz="6" w:space="0" w:color="D8D8D8"/>
                <w:right w:val="single" w:sz="6" w:space="0" w:color="D8D8D8"/>
              </w:divBdr>
              <w:divsChild>
                <w:div w:id="1811747246">
                  <w:marLeft w:val="0"/>
                  <w:marRight w:val="0"/>
                  <w:marTop w:val="0"/>
                  <w:marBottom w:val="0"/>
                  <w:divBdr>
                    <w:top w:val="none" w:sz="0" w:space="0" w:color="auto"/>
                    <w:left w:val="none" w:sz="0" w:space="0" w:color="auto"/>
                    <w:bottom w:val="none" w:sz="0" w:space="0" w:color="auto"/>
                    <w:right w:val="none" w:sz="0" w:space="0" w:color="auto"/>
                  </w:divBdr>
                  <w:divsChild>
                    <w:div w:id="659622892">
                      <w:marLeft w:val="0"/>
                      <w:marRight w:val="0"/>
                      <w:marTop w:val="0"/>
                      <w:marBottom w:val="0"/>
                      <w:divBdr>
                        <w:top w:val="none" w:sz="0" w:space="0" w:color="auto"/>
                        <w:left w:val="none" w:sz="0" w:space="0" w:color="auto"/>
                        <w:bottom w:val="none" w:sz="0" w:space="0" w:color="auto"/>
                        <w:right w:val="none" w:sz="0" w:space="0" w:color="auto"/>
                      </w:divBdr>
                      <w:divsChild>
                        <w:div w:id="8964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6034">
                  <w:marLeft w:val="0"/>
                  <w:marRight w:val="0"/>
                  <w:marTop w:val="0"/>
                  <w:marBottom w:val="0"/>
                  <w:divBdr>
                    <w:top w:val="single" w:sz="6" w:space="0" w:color="D8D8D8"/>
                    <w:left w:val="none" w:sz="0" w:space="0" w:color="auto"/>
                    <w:bottom w:val="none" w:sz="0" w:space="0" w:color="auto"/>
                    <w:right w:val="none" w:sz="0" w:space="0" w:color="auto"/>
                  </w:divBdr>
                  <w:divsChild>
                    <w:div w:id="2129428161">
                      <w:marLeft w:val="0"/>
                      <w:marRight w:val="0"/>
                      <w:marTop w:val="0"/>
                      <w:marBottom w:val="0"/>
                      <w:divBdr>
                        <w:top w:val="none" w:sz="0" w:space="0" w:color="auto"/>
                        <w:left w:val="none" w:sz="0" w:space="0" w:color="auto"/>
                        <w:bottom w:val="none" w:sz="0" w:space="0" w:color="auto"/>
                        <w:right w:val="none" w:sz="0" w:space="0" w:color="auto"/>
                      </w:divBdr>
                      <w:divsChild>
                        <w:div w:id="1904177904">
                          <w:marLeft w:val="150"/>
                          <w:marRight w:val="225"/>
                          <w:marTop w:val="75"/>
                          <w:marBottom w:val="75"/>
                          <w:divBdr>
                            <w:top w:val="none" w:sz="0" w:space="0" w:color="auto"/>
                            <w:left w:val="none" w:sz="0" w:space="0" w:color="auto"/>
                            <w:bottom w:val="none" w:sz="0" w:space="0" w:color="auto"/>
                            <w:right w:val="none" w:sz="0" w:space="0" w:color="auto"/>
                          </w:divBdr>
                          <w:divsChild>
                            <w:div w:id="458768625">
                              <w:marLeft w:val="0"/>
                              <w:marRight w:val="0"/>
                              <w:marTop w:val="0"/>
                              <w:marBottom w:val="0"/>
                              <w:divBdr>
                                <w:top w:val="none" w:sz="0" w:space="0" w:color="auto"/>
                                <w:left w:val="none" w:sz="0" w:space="0" w:color="auto"/>
                                <w:bottom w:val="none" w:sz="0" w:space="0" w:color="auto"/>
                                <w:right w:val="none" w:sz="0" w:space="0" w:color="auto"/>
                              </w:divBdr>
                              <w:divsChild>
                                <w:div w:id="1570844178">
                                  <w:marLeft w:val="0"/>
                                  <w:marRight w:val="0"/>
                                  <w:marTop w:val="0"/>
                                  <w:marBottom w:val="0"/>
                                  <w:divBdr>
                                    <w:top w:val="none" w:sz="0" w:space="0" w:color="auto"/>
                                    <w:left w:val="none" w:sz="0" w:space="0" w:color="auto"/>
                                    <w:bottom w:val="none" w:sz="0" w:space="0" w:color="auto"/>
                                    <w:right w:val="none" w:sz="0" w:space="0" w:color="auto"/>
                                  </w:divBdr>
                                </w:div>
                                <w:div w:id="24761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2475">
                          <w:marLeft w:val="0"/>
                          <w:marRight w:val="0"/>
                          <w:marTop w:val="0"/>
                          <w:marBottom w:val="0"/>
                          <w:divBdr>
                            <w:top w:val="none" w:sz="0" w:space="0" w:color="auto"/>
                            <w:left w:val="single" w:sz="6" w:space="8" w:color="D8D8D8"/>
                            <w:bottom w:val="none" w:sz="0" w:space="0" w:color="auto"/>
                            <w:right w:val="none" w:sz="0" w:space="0" w:color="auto"/>
                          </w:divBdr>
                        </w:div>
                      </w:divsChild>
                    </w:div>
                    <w:div w:id="450826377">
                      <w:marLeft w:val="0"/>
                      <w:marRight w:val="0"/>
                      <w:marTop w:val="0"/>
                      <w:marBottom w:val="0"/>
                      <w:divBdr>
                        <w:top w:val="single" w:sz="6" w:space="4" w:color="D8D8D8"/>
                        <w:left w:val="none" w:sz="0" w:space="0" w:color="auto"/>
                        <w:bottom w:val="none" w:sz="0" w:space="0" w:color="auto"/>
                        <w:right w:val="none" w:sz="0" w:space="0" w:color="auto"/>
                      </w:divBdr>
                      <w:divsChild>
                        <w:div w:id="144719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46734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0418635">
      <w:bodyDiv w:val="1"/>
      <w:marLeft w:val="0"/>
      <w:marRight w:val="0"/>
      <w:marTop w:val="0"/>
      <w:marBottom w:val="0"/>
      <w:divBdr>
        <w:top w:val="none" w:sz="0" w:space="0" w:color="auto"/>
        <w:left w:val="none" w:sz="0" w:space="0" w:color="auto"/>
        <w:bottom w:val="none" w:sz="0" w:space="0" w:color="auto"/>
        <w:right w:val="none" w:sz="0" w:space="0" w:color="auto"/>
      </w:divBdr>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31445029">
      <w:bodyDiv w:val="1"/>
      <w:marLeft w:val="0"/>
      <w:marRight w:val="0"/>
      <w:marTop w:val="0"/>
      <w:marBottom w:val="0"/>
      <w:divBdr>
        <w:top w:val="none" w:sz="0" w:space="0" w:color="auto"/>
        <w:left w:val="none" w:sz="0" w:space="0" w:color="auto"/>
        <w:bottom w:val="none" w:sz="0" w:space="0" w:color="auto"/>
        <w:right w:val="none" w:sz="0" w:space="0" w:color="auto"/>
      </w:divBdr>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36198318">
      <w:bodyDiv w:val="1"/>
      <w:marLeft w:val="0"/>
      <w:marRight w:val="0"/>
      <w:marTop w:val="0"/>
      <w:marBottom w:val="0"/>
      <w:divBdr>
        <w:top w:val="none" w:sz="0" w:space="0" w:color="auto"/>
        <w:left w:val="none" w:sz="0" w:space="0" w:color="auto"/>
        <w:bottom w:val="none" w:sz="0" w:space="0" w:color="auto"/>
        <w:right w:val="none" w:sz="0" w:space="0" w:color="auto"/>
      </w:divBdr>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070887426">
      <w:bodyDiv w:val="1"/>
      <w:marLeft w:val="0"/>
      <w:marRight w:val="0"/>
      <w:marTop w:val="0"/>
      <w:marBottom w:val="0"/>
      <w:divBdr>
        <w:top w:val="none" w:sz="0" w:space="0" w:color="auto"/>
        <w:left w:val="none" w:sz="0" w:space="0" w:color="auto"/>
        <w:bottom w:val="none" w:sz="0" w:space="0" w:color="auto"/>
        <w:right w:val="none" w:sz="0" w:space="0" w:color="auto"/>
      </w:divBdr>
    </w:div>
    <w:div w:id="1072585941">
      <w:bodyDiv w:val="1"/>
      <w:marLeft w:val="0"/>
      <w:marRight w:val="0"/>
      <w:marTop w:val="0"/>
      <w:marBottom w:val="0"/>
      <w:divBdr>
        <w:top w:val="none" w:sz="0" w:space="0" w:color="auto"/>
        <w:left w:val="none" w:sz="0" w:space="0" w:color="auto"/>
        <w:bottom w:val="none" w:sz="0" w:space="0" w:color="auto"/>
        <w:right w:val="none" w:sz="0" w:space="0" w:color="auto"/>
      </w:divBdr>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391731870">
      <w:bodyDiv w:val="1"/>
      <w:marLeft w:val="0"/>
      <w:marRight w:val="0"/>
      <w:marTop w:val="0"/>
      <w:marBottom w:val="0"/>
      <w:divBdr>
        <w:top w:val="none" w:sz="0" w:space="0" w:color="auto"/>
        <w:left w:val="none" w:sz="0" w:space="0" w:color="auto"/>
        <w:bottom w:val="none" w:sz="0" w:space="0" w:color="auto"/>
        <w:right w:val="none" w:sz="0" w:space="0" w:color="auto"/>
      </w:divBdr>
    </w:div>
    <w:div w:id="140445472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66997023">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31347">
      <w:bodyDiv w:val="1"/>
      <w:marLeft w:val="0"/>
      <w:marRight w:val="0"/>
      <w:marTop w:val="0"/>
      <w:marBottom w:val="0"/>
      <w:divBdr>
        <w:top w:val="none" w:sz="0" w:space="0" w:color="auto"/>
        <w:left w:val="none" w:sz="0" w:space="0" w:color="auto"/>
        <w:bottom w:val="none" w:sz="0" w:space="0" w:color="auto"/>
        <w:right w:val="none" w:sz="0" w:space="0" w:color="auto"/>
      </w:divBdr>
      <w:divsChild>
        <w:div w:id="1672681752">
          <w:marLeft w:val="0"/>
          <w:marRight w:val="0"/>
          <w:marTop w:val="0"/>
          <w:marBottom w:val="0"/>
          <w:divBdr>
            <w:top w:val="none" w:sz="0" w:space="0" w:color="auto"/>
            <w:left w:val="none" w:sz="0" w:space="0" w:color="auto"/>
            <w:bottom w:val="none" w:sz="0" w:space="0" w:color="auto"/>
            <w:right w:val="none" w:sz="0" w:space="0" w:color="auto"/>
          </w:divBdr>
          <w:divsChild>
            <w:div w:id="10580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hub.com/en/library/anatomy/the-oral-cavity" TargetMode="External"/><Relationship Id="rId13" Type="http://schemas.openxmlformats.org/officeDocument/2006/relationships/hyperlink" Target="https://www.kenhub.com/en/library/anatomy/the-mandibular-branch-of-the-trigeminal-nerve" TargetMode="External"/><Relationship Id="rId18" Type="http://schemas.openxmlformats.org/officeDocument/2006/relationships/hyperlink" Target="https://www.kenhub.com/en/library/anatomy/vallate-papilla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kenhub.com/en/library/anatomy/larynx"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kenhub.com/en/library/anatomy/facial-nerv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enhub.com/en/library/anatomy/the-12-cranial-nerves" TargetMode="External"/><Relationship Id="rId20" Type="http://schemas.openxmlformats.org/officeDocument/2006/relationships/hyperlink" Target="https://www.kenhub.com/en/library/anatomy/taste-bu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the-hypoglossal-nerv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kenhub.com/en/library/anatomy/the-olfactory-pathwa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kenhub.com/en/library/anatomy/stages-of-swallowing" TargetMode="External"/><Relationship Id="rId19" Type="http://schemas.openxmlformats.org/officeDocument/2006/relationships/hyperlink" Target="https://www.kenhub.com/en/library/anatomy/chorda-tympani-en" TargetMode="External"/><Relationship Id="rId4" Type="http://schemas.openxmlformats.org/officeDocument/2006/relationships/settings" Target="settings.xml"/><Relationship Id="rId9" Type="http://schemas.openxmlformats.org/officeDocument/2006/relationships/hyperlink" Target="https://www.kenhub.com/en/library/anatomy/anatomy-of-taste" TargetMode="External"/><Relationship Id="rId14" Type="http://schemas.openxmlformats.org/officeDocument/2006/relationships/hyperlink" Target="https://www.kenhub.com/en/library/anatomy/the-glossopharyngeal-nerve" TargetMode="External"/><Relationship Id="rId22" Type="http://schemas.openxmlformats.org/officeDocument/2006/relationships/hyperlink" Target="https://www.kenhub.com/en/library/anatomy/overview-and-types-of-epithelial-tissu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1031</Words>
  <Characters>5606</Characters>
  <Application>Microsoft Office Word</Application>
  <DocSecurity>0</DocSecurity>
  <Lines>104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2024-05-24T08:27:00Z</dcterms:created>
  <dcterms:modified xsi:type="dcterms:W3CDTF">2024-05-24T08:27:00Z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