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249A2FF4" w14:textId="3FBC4F99" w:rsidR="00E17D20" w:rsidRPr="00E17D20" w:rsidRDefault="00E17D20" w:rsidP="00E17D20">
      <w:p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Body fluids and blood</w:t>
      </w:r>
    </w:p>
    <w:p w14:paraId="4A2E6906" w14:textId="7132E263"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Body fluids, composition and functions of blood, </w:t>
      </w:r>
      <w:proofErr w:type="spellStart"/>
      <w:r w:rsidRPr="00E17D20">
        <w:rPr>
          <w:rFonts w:ascii="Times New Roman" w:hAnsi="Times New Roman" w:cs="Times New Roman"/>
          <w:sz w:val="24"/>
          <w:szCs w:val="24"/>
          <w:lang w:val="en-IN"/>
        </w:rPr>
        <w:t>hemopoeisis</w:t>
      </w:r>
      <w:proofErr w:type="spellEnd"/>
      <w:r w:rsidRPr="00E17D20">
        <w:rPr>
          <w:rFonts w:ascii="Times New Roman" w:hAnsi="Times New Roman" w:cs="Times New Roman"/>
          <w:sz w:val="24"/>
          <w:szCs w:val="24"/>
          <w:lang w:val="en-IN"/>
        </w:rPr>
        <w:t>, formation of</w:t>
      </w:r>
    </w:p>
    <w:p w14:paraId="717FECA9"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proofErr w:type="spellStart"/>
      <w:r w:rsidRPr="00E17D20">
        <w:rPr>
          <w:rFonts w:ascii="Times New Roman" w:hAnsi="Times New Roman" w:cs="Times New Roman"/>
          <w:sz w:val="24"/>
          <w:szCs w:val="24"/>
          <w:lang w:val="en-IN"/>
        </w:rPr>
        <w:t>hemoglobin</w:t>
      </w:r>
      <w:proofErr w:type="spellEnd"/>
      <w:r w:rsidRPr="00E17D20">
        <w:rPr>
          <w:rFonts w:ascii="Times New Roman" w:hAnsi="Times New Roman" w:cs="Times New Roman"/>
          <w:sz w:val="24"/>
          <w:szCs w:val="24"/>
          <w:lang w:val="en-IN"/>
        </w:rPr>
        <w:t xml:space="preserve">, </w:t>
      </w:r>
      <w:proofErr w:type="spellStart"/>
      <w:r w:rsidRPr="00E17D20">
        <w:rPr>
          <w:rFonts w:ascii="Times New Roman" w:hAnsi="Times New Roman" w:cs="Times New Roman"/>
          <w:sz w:val="24"/>
          <w:szCs w:val="24"/>
          <w:lang w:val="en-IN"/>
        </w:rPr>
        <w:t>anemia</w:t>
      </w:r>
      <w:proofErr w:type="spellEnd"/>
      <w:r w:rsidRPr="00E17D20">
        <w:rPr>
          <w:rFonts w:ascii="Times New Roman" w:hAnsi="Times New Roman" w:cs="Times New Roman"/>
          <w:sz w:val="24"/>
          <w:szCs w:val="24"/>
          <w:lang w:val="en-IN"/>
        </w:rPr>
        <w:t>, mechanisms of coagulation, blood grouping, Rh factors,</w:t>
      </w:r>
    </w:p>
    <w:p w14:paraId="53A6F54C"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 xml:space="preserve">transfusion, its significance and disorders of blood, </w:t>
      </w:r>
      <w:proofErr w:type="spellStart"/>
      <w:r w:rsidRPr="00E17D20">
        <w:rPr>
          <w:rFonts w:ascii="Times New Roman" w:hAnsi="Times New Roman" w:cs="Times New Roman"/>
          <w:sz w:val="24"/>
          <w:szCs w:val="24"/>
          <w:lang w:val="en-IN"/>
        </w:rPr>
        <w:t>Reticulo</w:t>
      </w:r>
      <w:proofErr w:type="spellEnd"/>
      <w:r w:rsidRPr="00E17D20">
        <w:rPr>
          <w:rFonts w:ascii="Times New Roman" w:hAnsi="Times New Roman" w:cs="Times New Roman"/>
          <w:sz w:val="24"/>
          <w:szCs w:val="24"/>
          <w:lang w:val="en-IN"/>
        </w:rPr>
        <w:t xml:space="preserve"> endothelial system.</w:t>
      </w:r>
    </w:p>
    <w:p w14:paraId="471D3FA6" w14:textId="3F8C543E" w:rsidR="00E17D20" w:rsidRPr="00E17D20" w:rsidRDefault="00E17D20" w:rsidP="00E17D20">
      <w:pPr>
        <w:pStyle w:val="ListParagraph"/>
        <w:numPr>
          <w:ilvl w:val="0"/>
          <w:numId w:val="2"/>
        </w:numPr>
        <w:autoSpaceDE w:val="0"/>
        <w:autoSpaceDN w:val="0"/>
        <w:adjustRightInd w:val="0"/>
        <w:spacing w:after="0" w:line="240" w:lineRule="auto"/>
        <w:rPr>
          <w:rFonts w:ascii="Times New Roman" w:hAnsi="Times New Roman" w:cs="Times New Roman"/>
          <w:b/>
          <w:bCs/>
          <w:sz w:val="24"/>
          <w:szCs w:val="24"/>
          <w:lang w:val="en-IN"/>
        </w:rPr>
      </w:pPr>
      <w:r w:rsidRPr="00E17D20">
        <w:rPr>
          <w:rFonts w:ascii="Times New Roman" w:hAnsi="Times New Roman" w:cs="Times New Roman"/>
          <w:b/>
          <w:bCs/>
          <w:sz w:val="24"/>
          <w:szCs w:val="24"/>
          <w:lang w:val="en-IN"/>
        </w:rPr>
        <w:t>Lymphatic system</w:t>
      </w:r>
    </w:p>
    <w:p w14:paraId="481F9161" w14:textId="77777777" w:rsidR="00E17D20" w:rsidRPr="00E17D20" w:rsidRDefault="00E17D20" w:rsidP="00E17D20">
      <w:pPr>
        <w:autoSpaceDE w:val="0"/>
        <w:autoSpaceDN w:val="0"/>
        <w:adjustRightInd w:val="0"/>
        <w:spacing w:after="0" w:line="240" w:lineRule="auto"/>
        <w:rPr>
          <w:rFonts w:ascii="Times New Roman" w:hAnsi="Times New Roman" w:cs="Times New Roman"/>
          <w:sz w:val="24"/>
          <w:szCs w:val="24"/>
          <w:lang w:val="en-IN"/>
        </w:rPr>
      </w:pPr>
      <w:r w:rsidRPr="00E17D20">
        <w:rPr>
          <w:rFonts w:ascii="Times New Roman" w:hAnsi="Times New Roman" w:cs="Times New Roman"/>
          <w:sz w:val="24"/>
          <w:szCs w:val="24"/>
          <w:lang w:val="en-IN"/>
        </w:rPr>
        <w:t>Lymphatic organs and tissues, lymphatic vessels, lymph circulation and functions of</w:t>
      </w:r>
    </w:p>
    <w:p w14:paraId="0EDA96B0" w14:textId="77777777" w:rsidR="00395260" w:rsidRDefault="00E17D20" w:rsidP="00395260">
      <w:pPr>
        <w:rPr>
          <w:rFonts w:ascii="Times New Roman" w:hAnsi="Times New Roman" w:cs="Times New Roman"/>
          <w:sz w:val="24"/>
          <w:szCs w:val="24"/>
        </w:rPr>
      </w:pPr>
      <w:r w:rsidRPr="00E17D20">
        <w:rPr>
          <w:rFonts w:ascii="Times New Roman" w:hAnsi="Times New Roman" w:cs="Times New Roman"/>
          <w:sz w:val="24"/>
          <w:szCs w:val="24"/>
          <w:lang w:val="en-IN"/>
        </w:rPr>
        <w:t>lymphatic system</w:t>
      </w:r>
      <w:r w:rsidR="00DA1A81" w:rsidRPr="00DA1A81">
        <w:rPr>
          <w:rFonts w:ascii="Times New Roman" w:hAnsi="Times New Roman" w:cs="Times New Roman"/>
          <w:sz w:val="24"/>
          <w:szCs w:val="24"/>
        </w:rPr>
        <w:tab/>
      </w:r>
    </w:p>
    <w:p w14:paraId="6BC95F52" w14:textId="271940E0" w:rsidR="00395260" w:rsidRPr="00395260" w:rsidRDefault="00DB570F" w:rsidP="00395260">
      <w:pPr>
        <w:rPr>
          <w:rFonts w:ascii="Times New Roman" w:hAnsi="Times New Roman" w:cs="Times New Roman"/>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sz w:val="24"/>
          <w:szCs w:val="24"/>
        </w:rPr>
        <w:t xml:space="preserve">TOPIC: </w:t>
      </w:r>
      <w:r w:rsidR="00395260" w:rsidRPr="00395260">
        <w:rPr>
          <w:rFonts w:ascii="Times New Roman" w:hAnsi="Times New Roman" w:cs="Times New Roman"/>
          <w:b/>
          <w:bCs/>
          <w:color w:val="FF0000"/>
          <w:sz w:val="24"/>
          <w:szCs w:val="24"/>
          <w:u w:val="single"/>
        </w:rPr>
        <w:t>BLOOD COAGULATION</w:t>
      </w:r>
    </w:p>
    <w:p w14:paraId="7CC66789" w14:textId="77777777" w:rsidR="00395260" w:rsidRPr="00395260" w:rsidRDefault="00395260" w:rsidP="00395260">
      <w:pPr>
        <w:pStyle w:val="Heading2"/>
        <w:shd w:val="clear" w:color="auto" w:fill="FFFFFF"/>
        <w:spacing w:before="0" w:line="360" w:lineRule="auto"/>
        <w:jc w:val="both"/>
        <w:rPr>
          <w:rFonts w:ascii="Times New Roman" w:hAnsi="Times New Roman" w:cs="Times New Roman"/>
          <w:b/>
          <w:bCs/>
          <w:color w:val="auto"/>
          <w:sz w:val="24"/>
          <w:szCs w:val="24"/>
        </w:rPr>
      </w:pPr>
      <w:r w:rsidRPr="00395260">
        <w:rPr>
          <w:rFonts w:ascii="Times New Roman" w:hAnsi="Times New Roman" w:cs="Times New Roman"/>
          <w:b/>
          <w:bCs/>
          <w:color w:val="auto"/>
          <w:sz w:val="24"/>
          <w:szCs w:val="24"/>
        </w:rPr>
        <w:t>Blood Coagulation</w:t>
      </w:r>
    </w:p>
    <w:p w14:paraId="627EDD64"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Blood coagulation or clotting is an important phenomenon to prevent excess loss of blood in case of injury or trauma. The blood stops flowing from a wound in case of injury. The blood clot or ‘coagulum’ is formed by a network of fibrin threads. In this network, deformed and dead formed elements (erythrocytes, leukocytes and platelets) get trapped.</w:t>
      </w:r>
    </w:p>
    <w:p w14:paraId="4144743F" w14:textId="77777777" w:rsidR="00395260" w:rsidRPr="00395260" w:rsidRDefault="00395260" w:rsidP="00395260">
      <w:pPr>
        <w:pStyle w:val="texttoaudio"/>
        <w:shd w:val="clear" w:color="auto" w:fill="FFFFFF"/>
        <w:spacing w:before="0" w:beforeAutospacing="0" w:after="0" w:afterAutospacing="0" w:line="360" w:lineRule="auto"/>
        <w:jc w:val="both"/>
      </w:pPr>
      <w:r w:rsidRPr="00395260">
        <w:t>Prothrombin is the inactive form of thrombin that is present in the plasma. Thrombokinase converts prothrombin to active thrombin which in turn activates fibrinogen to fibrin. All these clotting factors help in blood coagulation.</w:t>
      </w:r>
    </w:p>
    <w:p w14:paraId="7A2C752B"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An injury stimulates platelets or thrombocytes to release various factors that initiate the blood clotting cascade. Calcium ions play an important role in blood coagulation.</w:t>
      </w:r>
    </w:p>
    <w:p w14:paraId="1697DC1F"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Let’s learn more in detail about the process of blood coagulation (clotting).</w:t>
      </w:r>
      <w:r w:rsidRPr="00395260">
        <w:br/>
      </w:r>
      <w:bookmarkStart w:id="0" w:name="Factors_Involved_in_Blood_Coagulation"/>
      <w:bookmarkEnd w:id="0"/>
    </w:p>
    <w:p w14:paraId="5AE46182" w14:textId="77777777" w:rsidR="00395260" w:rsidRPr="00395260" w:rsidRDefault="00395260" w:rsidP="00395260">
      <w:pPr>
        <w:pStyle w:val="Heading2"/>
        <w:shd w:val="clear" w:color="auto" w:fill="FFFFFF"/>
        <w:spacing w:before="0" w:line="360" w:lineRule="auto"/>
        <w:jc w:val="both"/>
        <w:rPr>
          <w:rFonts w:ascii="Times New Roman" w:hAnsi="Times New Roman" w:cs="Times New Roman"/>
          <w:color w:val="auto"/>
          <w:sz w:val="24"/>
          <w:szCs w:val="24"/>
        </w:rPr>
      </w:pPr>
      <w:r w:rsidRPr="00395260">
        <w:rPr>
          <w:rStyle w:val="Strong"/>
          <w:rFonts w:ascii="Times New Roman" w:hAnsi="Times New Roman" w:cs="Times New Roman"/>
          <w:color w:val="auto"/>
          <w:sz w:val="24"/>
          <w:szCs w:val="24"/>
        </w:rPr>
        <w:t>Factors Involved in Blood Coagulation</w:t>
      </w:r>
      <w:r w:rsidRPr="00395260">
        <w:rPr>
          <w:rFonts w:ascii="Times New Roman" w:hAnsi="Times New Roman" w:cs="Times New Roman"/>
          <w:color w:val="auto"/>
          <w:sz w:val="24"/>
          <w:szCs w:val="24"/>
        </w:rPr>
        <w:t> </w:t>
      </w:r>
    </w:p>
    <w:p w14:paraId="067DA6AD"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First let’s glance at the coagulation factors involved in the blood clotting process.</w:t>
      </w:r>
    </w:p>
    <w:p w14:paraId="1D6FE449"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Coagulation of blood occurs through a series of reactions due to the activation of a group of substances called clotting factors. There are 13 clotting factors identified and named after the scientists who discovered them or as per the activity. Only factor IX or Christmas factor is named after the patient in whom it was discovered.</w:t>
      </w:r>
    </w:p>
    <w:p w14:paraId="68958927"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 </w:t>
      </w:r>
    </w:p>
    <w:tbl>
      <w:tblPr>
        <w:tblW w:w="10050" w:type="dxa"/>
        <w:tblCellSpacing w:w="15" w:type="dxa"/>
        <w:tblBorders>
          <w:top w:val="single" w:sz="6" w:space="0" w:color="444444"/>
          <w:left w:val="single" w:sz="6" w:space="0" w:color="444444"/>
          <w:right w:val="single" w:sz="6" w:space="0" w:color="444444"/>
        </w:tblBorders>
        <w:shd w:val="clear" w:color="auto" w:fill="F1EDFF"/>
        <w:tblCellMar>
          <w:top w:w="15" w:type="dxa"/>
          <w:left w:w="15" w:type="dxa"/>
          <w:bottom w:w="15" w:type="dxa"/>
          <w:right w:w="15" w:type="dxa"/>
        </w:tblCellMar>
        <w:tblLook w:val="04A0" w:firstRow="1" w:lastRow="0" w:firstColumn="1" w:lastColumn="0" w:noHBand="0" w:noVBand="1"/>
      </w:tblPr>
      <w:tblGrid>
        <w:gridCol w:w="3256"/>
        <w:gridCol w:w="3058"/>
        <w:gridCol w:w="3736"/>
      </w:tblGrid>
      <w:tr w:rsidR="00395260" w:rsidRPr="00395260" w14:paraId="7AE38674" w14:textId="77777777" w:rsidTr="00395260">
        <w:trPr>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4BBB85B1"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lastRenderedPageBreak/>
              <w:t>Factor I Fibrinogen </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7404C00C"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VI Unassigned </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75488A03"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XI Plasma thromboplastin antecedent</w:t>
            </w:r>
          </w:p>
        </w:tc>
      </w:tr>
      <w:tr w:rsidR="00395260" w:rsidRPr="00395260" w14:paraId="2D3E84F6" w14:textId="77777777" w:rsidTr="00395260">
        <w:trPr>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05AA099A"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II Prothrombin </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673F1D5A"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VII Stable factor </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7B55FFAD"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XII Hageman factor </w:t>
            </w:r>
          </w:p>
        </w:tc>
      </w:tr>
      <w:tr w:rsidR="00395260" w:rsidRPr="00395260" w14:paraId="2ACCF1E7" w14:textId="77777777" w:rsidTr="00395260">
        <w:trPr>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527FA79C"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III Thromboplastin</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064DE823"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VIII Antihemophilic factor </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75CF3FBB"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XIII Fibrin-</w:t>
            </w:r>
            <w:proofErr w:type="spellStart"/>
            <w:r w:rsidRPr="00395260">
              <w:rPr>
                <w:rFonts w:ascii="Times New Roman" w:hAnsi="Times New Roman" w:cs="Times New Roman"/>
                <w:sz w:val="24"/>
                <w:szCs w:val="24"/>
              </w:rPr>
              <w:t>stabilising</w:t>
            </w:r>
            <w:proofErr w:type="spellEnd"/>
            <w:r w:rsidRPr="00395260">
              <w:rPr>
                <w:rFonts w:ascii="Times New Roman" w:hAnsi="Times New Roman" w:cs="Times New Roman"/>
                <w:sz w:val="24"/>
                <w:szCs w:val="24"/>
              </w:rPr>
              <w:t xml:space="preserve"> factor </w:t>
            </w:r>
          </w:p>
        </w:tc>
      </w:tr>
      <w:tr w:rsidR="00395260" w:rsidRPr="00395260" w14:paraId="08CE2773" w14:textId="77777777" w:rsidTr="00395260">
        <w:trPr>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13690642"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IV Calcium Factor</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3F21D590"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IX Christmas factor</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100AC903" w14:textId="77777777" w:rsidR="00395260" w:rsidRPr="00395260" w:rsidRDefault="00395260" w:rsidP="00395260">
            <w:pPr>
              <w:spacing w:after="0" w:line="360" w:lineRule="auto"/>
              <w:jc w:val="both"/>
              <w:rPr>
                <w:rFonts w:ascii="Times New Roman" w:hAnsi="Times New Roman" w:cs="Times New Roman"/>
                <w:sz w:val="24"/>
                <w:szCs w:val="24"/>
              </w:rPr>
            </w:pPr>
          </w:p>
        </w:tc>
      </w:tr>
      <w:tr w:rsidR="00395260" w:rsidRPr="00395260" w14:paraId="2A3EF1C9" w14:textId="77777777" w:rsidTr="00395260">
        <w:trPr>
          <w:tblCellSpacing w:w="15" w:type="dxa"/>
        </w:trPr>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67CC1275"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V Labile factor (Proaccelerin)</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1AED0EBD" w14:textId="77777777" w:rsidR="00395260" w:rsidRPr="00395260" w:rsidRDefault="00395260" w:rsidP="00395260">
            <w:pPr>
              <w:spacing w:after="0" w:line="360" w:lineRule="auto"/>
              <w:jc w:val="both"/>
              <w:rPr>
                <w:rFonts w:ascii="Times New Roman" w:hAnsi="Times New Roman" w:cs="Times New Roman"/>
                <w:sz w:val="24"/>
                <w:szCs w:val="24"/>
              </w:rPr>
            </w:pPr>
            <w:r w:rsidRPr="00395260">
              <w:rPr>
                <w:rFonts w:ascii="Times New Roman" w:hAnsi="Times New Roman" w:cs="Times New Roman"/>
                <w:sz w:val="24"/>
                <w:szCs w:val="24"/>
              </w:rPr>
              <w:t>Factor X Stuart-</w:t>
            </w:r>
            <w:proofErr w:type="spellStart"/>
            <w:r w:rsidRPr="00395260">
              <w:rPr>
                <w:rFonts w:ascii="Times New Roman" w:hAnsi="Times New Roman" w:cs="Times New Roman"/>
                <w:sz w:val="24"/>
                <w:szCs w:val="24"/>
              </w:rPr>
              <w:t>Prower</w:t>
            </w:r>
            <w:proofErr w:type="spellEnd"/>
            <w:r w:rsidRPr="00395260">
              <w:rPr>
                <w:rFonts w:ascii="Times New Roman" w:hAnsi="Times New Roman" w:cs="Times New Roman"/>
                <w:sz w:val="24"/>
                <w:szCs w:val="24"/>
              </w:rPr>
              <w:t xml:space="preserve"> factor</w:t>
            </w:r>
          </w:p>
        </w:tc>
        <w:tc>
          <w:tcPr>
            <w:tcW w:w="0" w:type="auto"/>
            <w:tcBorders>
              <w:bottom w:val="single" w:sz="6" w:space="0" w:color="444444"/>
            </w:tcBorders>
            <w:shd w:val="clear" w:color="auto" w:fill="F1EDFF"/>
            <w:tcMar>
              <w:top w:w="180" w:type="dxa"/>
              <w:left w:w="120" w:type="dxa"/>
              <w:bottom w:w="180" w:type="dxa"/>
              <w:right w:w="120" w:type="dxa"/>
            </w:tcMar>
            <w:vAlign w:val="center"/>
            <w:hideMark/>
          </w:tcPr>
          <w:p w14:paraId="135B2248" w14:textId="77777777" w:rsidR="00395260" w:rsidRPr="00395260" w:rsidRDefault="00395260" w:rsidP="00395260">
            <w:pPr>
              <w:spacing w:after="0" w:line="360" w:lineRule="auto"/>
              <w:jc w:val="both"/>
              <w:rPr>
                <w:rFonts w:ascii="Times New Roman" w:hAnsi="Times New Roman" w:cs="Times New Roman"/>
                <w:sz w:val="24"/>
                <w:szCs w:val="24"/>
              </w:rPr>
            </w:pPr>
          </w:p>
        </w:tc>
      </w:tr>
    </w:tbl>
    <w:p w14:paraId="4BCE6663" w14:textId="77777777" w:rsidR="00395260" w:rsidRPr="00395260" w:rsidRDefault="00395260" w:rsidP="00395260">
      <w:pPr>
        <w:pStyle w:val="Heading2"/>
        <w:shd w:val="clear" w:color="auto" w:fill="FFFFFF"/>
        <w:spacing w:before="0" w:line="360" w:lineRule="auto"/>
        <w:jc w:val="both"/>
        <w:rPr>
          <w:rFonts w:ascii="Times New Roman" w:hAnsi="Times New Roman" w:cs="Times New Roman"/>
          <w:b/>
          <w:bCs/>
          <w:color w:val="auto"/>
          <w:sz w:val="24"/>
          <w:szCs w:val="24"/>
        </w:rPr>
      </w:pPr>
      <w:bookmarkStart w:id="1" w:name="Blood_Coagulation_Pathway"/>
      <w:bookmarkEnd w:id="1"/>
      <w:r w:rsidRPr="00395260">
        <w:rPr>
          <w:rFonts w:ascii="Times New Roman" w:hAnsi="Times New Roman" w:cs="Times New Roman"/>
          <w:b/>
          <w:bCs/>
          <w:color w:val="auto"/>
          <w:sz w:val="24"/>
          <w:szCs w:val="24"/>
        </w:rPr>
        <w:t>Blood Coagulation Pathway</w:t>
      </w:r>
    </w:p>
    <w:p w14:paraId="483AD0E9"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The process of blood coagulation leads to haemostasis, i.e. prevention of bleeding or haemorrhage. Blood clotting involves activation and aggregation of platelets at the exposed endothelial cells, followed by deposition and stabilisation of cross-linked fibrin mesh.</w:t>
      </w:r>
    </w:p>
    <w:p w14:paraId="136D5888"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Primary haemostasis involves platelet aggregation and formation of a plug at the site of injury, and secondary haemostasis involves strengthening and stabilisation of platelet plug by the formation of a network of fibrin threads. The secondary haemostasis involves two coagulation pathways, the intrinsic pathway and the extrinsic pathway. Both pathways merge at a point and lead to the activation of fibrin, and the formation of the fibrin network.</w:t>
      </w:r>
    </w:p>
    <w:p w14:paraId="64EA23BC" w14:textId="77777777" w:rsidR="00395260" w:rsidRPr="00395260" w:rsidRDefault="00395260" w:rsidP="00395260">
      <w:pPr>
        <w:pStyle w:val="Heading3"/>
        <w:shd w:val="clear" w:color="auto" w:fill="FFFFFF"/>
        <w:spacing w:before="0" w:beforeAutospacing="0" w:after="0" w:afterAutospacing="0" w:line="360" w:lineRule="auto"/>
        <w:jc w:val="both"/>
        <w:rPr>
          <w:sz w:val="24"/>
          <w:szCs w:val="24"/>
        </w:rPr>
      </w:pPr>
      <w:r w:rsidRPr="00395260">
        <w:rPr>
          <w:sz w:val="24"/>
          <w:szCs w:val="24"/>
        </w:rPr>
        <w:t>Platelet Activation</w:t>
      </w:r>
    </w:p>
    <w:p w14:paraId="0569C455" w14:textId="77777777" w:rsidR="00395260" w:rsidRPr="00395260" w:rsidRDefault="00395260" w:rsidP="00395260">
      <w:pPr>
        <w:pStyle w:val="NormalWeb"/>
        <w:shd w:val="clear" w:color="auto" w:fill="FFFFFF"/>
        <w:spacing w:before="0" w:beforeAutospacing="0" w:after="0" w:afterAutospacing="0" w:line="360" w:lineRule="auto"/>
        <w:jc w:val="both"/>
      </w:pPr>
      <w:r w:rsidRPr="00395260">
        <w:t>The blood circulating in the blood vessel does not clot under normal circumstances. The blood coagulation process is stimulated when there is any damage to the endothelium of blood vessels. It leads to platelet activation and aggregation. When collagen is exposed to the platelets due to injury, the platelets bind to collagen by surface receptors. This adhesion is stimulated by the von Willebrand factor released from endothelial cells and platelets. This forms additional cross-linking and activation of platelet integrins, which facilitate tight binding and aggregation of platelets at the site of injury. This leads to primary haemostasis.</w:t>
      </w:r>
    </w:p>
    <w:p w14:paraId="533D9408" w14:textId="77777777" w:rsidR="00395260" w:rsidRPr="00395260" w:rsidRDefault="00395260" w:rsidP="00395260">
      <w:pPr>
        <w:shd w:val="clear" w:color="auto" w:fill="FFFFFF"/>
        <w:spacing w:after="0" w:line="360" w:lineRule="auto"/>
        <w:jc w:val="both"/>
        <w:outlineLvl w:val="2"/>
        <w:rPr>
          <w:rFonts w:ascii="Times New Roman" w:eastAsia="Times New Roman" w:hAnsi="Times New Roman" w:cs="Times New Roman"/>
          <w:b/>
          <w:bCs/>
          <w:sz w:val="24"/>
          <w:szCs w:val="24"/>
          <w:lang w:val="en-IN" w:eastAsia="en-IN"/>
        </w:rPr>
      </w:pPr>
      <w:r w:rsidRPr="00395260">
        <w:rPr>
          <w:rFonts w:ascii="Times New Roman" w:eastAsia="Times New Roman" w:hAnsi="Times New Roman" w:cs="Times New Roman"/>
          <w:b/>
          <w:bCs/>
          <w:sz w:val="24"/>
          <w:szCs w:val="24"/>
          <w:lang w:val="en-IN" w:eastAsia="en-IN"/>
        </w:rPr>
        <w:lastRenderedPageBreak/>
        <w:t>Blood Coagulation Cascade</w:t>
      </w:r>
    </w:p>
    <w:p w14:paraId="7C64CEA5"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The process of coagulation is a cascade of enzyme catalysed reactions wherein the activation of one factor leads to the activation of another factor and so on.</w:t>
      </w:r>
    </w:p>
    <w:p w14:paraId="425884AE"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The three main steps of the blood coagulation cascade are as follows:</w:t>
      </w:r>
    </w:p>
    <w:p w14:paraId="58E6E10C" w14:textId="77777777" w:rsidR="00395260" w:rsidRPr="00395260" w:rsidRDefault="00395260" w:rsidP="00395260">
      <w:pPr>
        <w:numPr>
          <w:ilvl w:val="0"/>
          <w:numId w:val="9"/>
        </w:num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Formation of prothrombin activator</w:t>
      </w:r>
    </w:p>
    <w:p w14:paraId="2C548165" w14:textId="77777777" w:rsidR="00395260" w:rsidRPr="00395260" w:rsidRDefault="00395260" w:rsidP="00395260">
      <w:pPr>
        <w:numPr>
          <w:ilvl w:val="0"/>
          <w:numId w:val="9"/>
        </w:num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Conversion of prothrombin to thrombin</w:t>
      </w:r>
    </w:p>
    <w:p w14:paraId="40F4D915" w14:textId="77777777" w:rsidR="00395260" w:rsidRPr="00395260" w:rsidRDefault="00395260" w:rsidP="00395260">
      <w:pPr>
        <w:numPr>
          <w:ilvl w:val="0"/>
          <w:numId w:val="9"/>
        </w:num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Conversion of fibrinogen into fibrin</w:t>
      </w:r>
    </w:p>
    <w:p w14:paraId="0C38C8DC"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t>1. Formation of prothrombin activator</w:t>
      </w:r>
    </w:p>
    <w:p w14:paraId="797E454F"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The formation of a prothrombin activator is the first step in the blood coagulation cascade of secondary haemostasis. It is done by two pathways, viz. extrinsic pathway and intrinsic pathway.</w:t>
      </w:r>
    </w:p>
    <w:p w14:paraId="7C35DA09"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t>Extrinsic Coagulation Pathway</w:t>
      </w:r>
    </w:p>
    <w:p w14:paraId="38FA92AA"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 xml:space="preserve">It is also known as the tissue factor pathway. It is a shorter pathway. The tissue factors or tissue thromboplastins are released from the damaged vascular wall. The tissue factor activates the factor VII to </w:t>
      </w:r>
      <w:proofErr w:type="spellStart"/>
      <w:r w:rsidRPr="00395260">
        <w:rPr>
          <w:rFonts w:ascii="Times New Roman" w:eastAsia="Times New Roman" w:hAnsi="Times New Roman" w:cs="Times New Roman"/>
          <w:sz w:val="24"/>
          <w:szCs w:val="24"/>
          <w:lang w:val="en-IN" w:eastAsia="en-IN"/>
        </w:rPr>
        <w:t>VIIa</w:t>
      </w:r>
      <w:proofErr w:type="spellEnd"/>
      <w:r w:rsidRPr="00395260">
        <w:rPr>
          <w:rFonts w:ascii="Times New Roman" w:eastAsia="Times New Roman" w:hAnsi="Times New Roman" w:cs="Times New Roman"/>
          <w:sz w:val="24"/>
          <w:szCs w:val="24"/>
          <w:lang w:val="en-IN" w:eastAsia="en-IN"/>
        </w:rPr>
        <w:t xml:space="preserve">. Then the factor </w:t>
      </w:r>
      <w:proofErr w:type="spellStart"/>
      <w:r w:rsidRPr="00395260">
        <w:rPr>
          <w:rFonts w:ascii="Times New Roman" w:eastAsia="Times New Roman" w:hAnsi="Times New Roman" w:cs="Times New Roman"/>
          <w:sz w:val="24"/>
          <w:szCs w:val="24"/>
          <w:lang w:val="en-IN" w:eastAsia="en-IN"/>
        </w:rPr>
        <w:t>VIIa</w:t>
      </w:r>
      <w:proofErr w:type="spellEnd"/>
      <w:r w:rsidRPr="00395260">
        <w:rPr>
          <w:rFonts w:ascii="Times New Roman" w:eastAsia="Times New Roman" w:hAnsi="Times New Roman" w:cs="Times New Roman"/>
          <w:sz w:val="24"/>
          <w:szCs w:val="24"/>
          <w:lang w:val="en-IN" w:eastAsia="en-IN"/>
        </w:rPr>
        <w:t xml:space="preserve"> activates the factor X to Xa in the presence of Ca</w:t>
      </w:r>
      <w:r w:rsidRPr="00395260">
        <w:rPr>
          <w:rFonts w:ascii="Times New Roman" w:eastAsia="Times New Roman" w:hAnsi="Times New Roman" w:cs="Times New Roman"/>
          <w:sz w:val="24"/>
          <w:szCs w:val="24"/>
          <w:vertAlign w:val="superscript"/>
          <w:lang w:val="en-IN" w:eastAsia="en-IN"/>
        </w:rPr>
        <w:t>2+</w:t>
      </w:r>
      <w:r w:rsidRPr="00395260">
        <w:rPr>
          <w:rFonts w:ascii="Times New Roman" w:eastAsia="Times New Roman" w:hAnsi="Times New Roman" w:cs="Times New Roman"/>
          <w:sz w:val="24"/>
          <w:szCs w:val="24"/>
          <w:lang w:val="en-IN" w:eastAsia="en-IN"/>
        </w:rPr>
        <w:t>.</w:t>
      </w:r>
    </w:p>
    <w:p w14:paraId="7FD96649"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t>Intrinsic Coagulation Pathway</w:t>
      </w:r>
    </w:p>
    <w:p w14:paraId="5235F940"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 xml:space="preserve">It is the longer pathway of secondary haemostasis. The intrinsic pathway begins with the exposure of blood to the collagen from the underlying damaged endothelium. This activates the plasma factor XII to </w:t>
      </w:r>
      <w:proofErr w:type="spellStart"/>
      <w:r w:rsidRPr="00395260">
        <w:rPr>
          <w:rFonts w:ascii="Times New Roman" w:eastAsia="Times New Roman" w:hAnsi="Times New Roman" w:cs="Times New Roman"/>
          <w:sz w:val="24"/>
          <w:szCs w:val="24"/>
          <w:lang w:val="en-IN" w:eastAsia="en-IN"/>
        </w:rPr>
        <w:t>XIIa</w:t>
      </w:r>
      <w:proofErr w:type="spellEnd"/>
      <w:r w:rsidRPr="00395260">
        <w:rPr>
          <w:rFonts w:ascii="Times New Roman" w:eastAsia="Times New Roman" w:hAnsi="Times New Roman" w:cs="Times New Roman"/>
          <w:sz w:val="24"/>
          <w:szCs w:val="24"/>
          <w:lang w:val="en-IN" w:eastAsia="en-IN"/>
        </w:rPr>
        <w:t>.</w:t>
      </w:r>
    </w:p>
    <w:p w14:paraId="7BA7FA77"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proofErr w:type="spellStart"/>
      <w:r w:rsidRPr="00395260">
        <w:rPr>
          <w:rFonts w:ascii="Times New Roman" w:eastAsia="Times New Roman" w:hAnsi="Times New Roman" w:cs="Times New Roman"/>
          <w:sz w:val="24"/>
          <w:szCs w:val="24"/>
          <w:lang w:val="en-IN" w:eastAsia="en-IN"/>
        </w:rPr>
        <w:t>XIIa</w:t>
      </w:r>
      <w:proofErr w:type="spellEnd"/>
      <w:r w:rsidRPr="00395260">
        <w:rPr>
          <w:rFonts w:ascii="Times New Roman" w:eastAsia="Times New Roman" w:hAnsi="Times New Roman" w:cs="Times New Roman"/>
          <w:sz w:val="24"/>
          <w:szCs w:val="24"/>
          <w:lang w:val="en-IN" w:eastAsia="en-IN"/>
        </w:rPr>
        <w:t xml:space="preserve"> is a serine protease, it activates the factor XI to </w:t>
      </w:r>
      <w:proofErr w:type="spellStart"/>
      <w:r w:rsidRPr="00395260">
        <w:rPr>
          <w:rFonts w:ascii="Times New Roman" w:eastAsia="Times New Roman" w:hAnsi="Times New Roman" w:cs="Times New Roman"/>
          <w:sz w:val="24"/>
          <w:szCs w:val="24"/>
          <w:lang w:val="en-IN" w:eastAsia="en-IN"/>
        </w:rPr>
        <w:t>XIa</w:t>
      </w:r>
      <w:proofErr w:type="spellEnd"/>
      <w:r w:rsidRPr="00395260">
        <w:rPr>
          <w:rFonts w:ascii="Times New Roman" w:eastAsia="Times New Roman" w:hAnsi="Times New Roman" w:cs="Times New Roman"/>
          <w:sz w:val="24"/>
          <w:szCs w:val="24"/>
          <w:lang w:val="en-IN" w:eastAsia="en-IN"/>
        </w:rPr>
        <w:t xml:space="preserve">. The </w:t>
      </w:r>
      <w:proofErr w:type="spellStart"/>
      <w:r w:rsidRPr="00395260">
        <w:rPr>
          <w:rFonts w:ascii="Times New Roman" w:eastAsia="Times New Roman" w:hAnsi="Times New Roman" w:cs="Times New Roman"/>
          <w:sz w:val="24"/>
          <w:szCs w:val="24"/>
          <w:lang w:val="en-IN" w:eastAsia="en-IN"/>
        </w:rPr>
        <w:t>XIa</w:t>
      </w:r>
      <w:proofErr w:type="spellEnd"/>
      <w:r w:rsidRPr="00395260">
        <w:rPr>
          <w:rFonts w:ascii="Times New Roman" w:eastAsia="Times New Roman" w:hAnsi="Times New Roman" w:cs="Times New Roman"/>
          <w:sz w:val="24"/>
          <w:szCs w:val="24"/>
          <w:lang w:val="en-IN" w:eastAsia="en-IN"/>
        </w:rPr>
        <w:t xml:space="preserve"> then activates the factor IX to </w:t>
      </w:r>
      <w:proofErr w:type="spellStart"/>
      <w:r w:rsidRPr="00395260">
        <w:rPr>
          <w:rFonts w:ascii="Times New Roman" w:eastAsia="Times New Roman" w:hAnsi="Times New Roman" w:cs="Times New Roman"/>
          <w:sz w:val="24"/>
          <w:szCs w:val="24"/>
          <w:lang w:val="en-IN" w:eastAsia="en-IN"/>
        </w:rPr>
        <w:t>IXa</w:t>
      </w:r>
      <w:proofErr w:type="spellEnd"/>
      <w:r w:rsidRPr="00395260">
        <w:rPr>
          <w:rFonts w:ascii="Times New Roman" w:eastAsia="Times New Roman" w:hAnsi="Times New Roman" w:cs="Times New Roman"/>
          <w:sz w:val="24"/>
          <w:szCs w:val="24"/>
          <w:lang w:val="en-IN" w:eastAsia="en-IN"/>
        </w:rPr>
        <w:t xml:space="preserve"> in the presence of Ca</w:t>
      </w:r>
      <w:r w:rsidRPr="00395260">
        <w:rPr>
          <w:rFonts w:ascii="Times New Roman" w:eastAsia="Times New Roman" w:hAnsi="Times New Roman" w:cs="Times New Roman"/>
          <w:sz w:val="24"/>
          <w:szCs w:val="24"/>
          <w:vertAlign w:val="superscript"/>
          <w:lang w:val="en-IN" w:eastAsia="en-IN"/>
        </w:rPr>
        <w:t>2+</w:t>
      </w:r>
      <w:r w:rsidRPr="00395260">
        <w:rPr>
          <w:rFonts w:ascii="Times New Roman" w:eastAsia="Times New Roman" w:hAnsi="Times New Roman" w:cs="Times New Roman"/>
          <w:sz w:val="24"/>
          <w:szCs w:val="24"/>
          <w:lang w:val="en-IN" w:eastAsia="en-IN"/>
        </w:rPr>
        <w:t> ions.</w:t>
      </w:r>
    </w:p>
    <w:p w14:paraId="7640AED9"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 xml:space="preserve">The factor </w:t>
      </w:r>
      <w:proofErr w:type="spellStart"/>
      <w:r w:rsidRPr="00395260">
        <w:rPr>
          <w:rFonts w:ascii="Times New Roman" w:eastAsia="Times New Roman" w:hAnsi="Times New Roman" w:cs="Times New Roman"/>
          <w:sz w:val="24"/>
          <w:szCs w:val="24"/>
          <w:lang w:val="en-IN" w:eastAsia="en-IN"/>
        </w:rPr>
        <w:t>IXa</w:t>
      </w:r>
      <w:proofErr w:type="spellEnd"/>
      <w:r w:rsidRPr="00395260">
        <w:rPr>
          <w:rFonts w:ascii="Times New Roman" w:eastAsia="Times New Roman" w:hAnsi="Times New Roman" w:cs="Times New Roman"/>
          <w:sz w:val="24"/>
          <w:szCs w:val="24"/>
          <w:lang w:val="en-IN" w:eastAsia="en-IN"/>
        </w:rPr>
        <w:t xml:space="preserve"> in the presence of factor </w:t>
      </w:r>
      <w:proofErr w:type="spellStart"/>
      <w:r w:rsidRPr="00395260">
        <w:rPr>
          <w:rFonts w:ascii="Times New Roman" w:eastAsia="Times New Roman" w:hAnsi="Times New Roman" w:cs="Times New Roman"/>
          <w:sz w:val="24"/>
          <w:szCs w:val="24"/>
          <w:lang w:val="en-IN" w:eastAsia="en-IN"/>
        </w:rPr>
        <w:t>VIIIa</w:t>
      </w:r>
      <w:proofErr w:type="spellEnd"/>
      <w:r w:rsidRPr="00395260">
        <w:rPr>
          <w:rFonts w:ascii="Times New Roman" w:eastAsia="Times New Roman" w:hAnsi="Times New Roman" w:cs="Times New Roman"/>
          <w:sz w:val="24"/>
          <w:szCs w:val="24"/>
          <w:lang w:val="en-IN" w:eastAsia="en-IN"/>
        </w:rPr>
        <w:t>, Ca</w:t>
      </w:r>
      <w:r w:rsidRPr="00395260">
        <w:rPr>
          <w:rFonts w:ascii="Times New Roman" w:eastAsia="Times New Roman" w:hAnsi="Times New Roman" w:cs="Times New Roman"/>
          <w:sz w:val="24"/>
          <w:szCs w:val="24"/>
          <w:vertAlign w:val="superscript"/>
          <w:lang w:val="en-IN" w:eastAsia="en-IN"/>
        </w:rPr>
        <w:t>2+</w:t>
      </w:r>
      <w:r w:rsidRPr="00395260">
        <w:rPr>
          <w:rFonts w:ascii="Times New Roman" w:eastAsia="Times New Roman" w:hAnsi="Times New Roman" w:cs="Times New Roman"/>
          <w:sz w:val="24"/>
          <w:szCs w:val="24"/>
          <w:lang w:val="en-IN" w:eastAsia="en-IN"/>
        </w:rPr>
        <w:t> and phospholipids activate the factor X to Xa.</w:t>
      </w:r>
    </w:p>
    <w:p w14:paraId="2A80B258"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t>Common Pathway</w:t>
      </w:r>
    </w:p>
    <w:p w14:paraId="2646A905"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The factor Xa, factor V, phospholipids and calcium ions form the prothrombin activator. This is the start of the common pathway of both extrinsic and intrinsic pathways leading to coagulation.</w:t>
      </w:r>
    </w:p>
    <w:p w14:paraId="7FCEF07E"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t>2. Conversion of prothrombin to thrombin</w:t>
      </w:r>
    </w:p>
    <w:p w14:paraId="40ECFD25"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Prothrombin or factor II is a plasma protein and is the inactive form of the enzyme </w:t>
      </w:r>
      <w:hyperlink r:id="rId8" w:history="1">
        <w:r w:rsidRPr="00395260">
          <w:rPr>
            <w:rFonts w:ascii="Times New Roman" w:eastAsia="Times New Roman" w:hAnsi="Times New Roman" w:cs="Times New Roman"/>
            <w:sz w:val="24"/>
            <w:szCs w:val="24"/>
            <w:u w:val="single"/>
            <w:lang w:val="en-IN" w:eastAsia="en-IN"/>
          </w:rPr>
          <w:t>thrombin</w:t>
        </w:r>
      </w:hyperlink>
      <w:r w:rsidRPr="00395260">
        <w:rPr>
          <w:rFonts w:ascii="Times New Roman" w:eastAsia="Times New Roman" w:hAnsi="Times New Roman" w:cs="Times New Roman"/>
          <w:sz w:val="24"/>
          <w:szCs w:val="24"/>
          <w:lang w:val="en-IN" w:eastAsia="en-IN"/>
        </w:rPr>
        <w:t>. Vitamin K is required for the synthesis of prothrombin in the liver. The prothrombin activator formed above converts prothrombin to thrombin. Thrombin is a proteolytic enzyme. It also stimulates its own formation, i.e. the conversion of prothrombin to thrombin. It promotes the formation of a prothrombin activator by activating factors VIII, V and XIII.</w:t>
      </w:r>
    </w:p>
    <w:p w14:paraId="5EB85985"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b/>
          <w:bCs/>
          <w:sz w:val="24"/>
          <w:szCs w:val="24"/>
          <w:lang w:val="en-IN" w:eastAsia="en-IN"/>
        </w:rPr>
        <w:lastRenderedPageBreak/>
        <w:t>3. Conversion of fibrinogen into fibrin</w:t>
      </w:r>
    </w:p>
    <w:p w14:paraId="614F1E6D" w14:textId="77777777" w:rsidR="00395260" w:rsidRPr="00395260" w:rsidRDefault="00395260" w:rsidP="00395260">
      <w:pPr>
        <w:shd w:val="clear" w:color="auto" w:fill="FFFFFF"/>
        <w:spacing w:after="0" w:line="360" w:lineRule="auto"/>
        <w:jc w:val="both"/>
        <w:rPr>
          <w:rFonts w:ascii="Times New Roman" w:eastAsia="Times New Roman" w:hAnsi="Times New Roman" w:cs="Times New Roman"/>
          <w:sz w:val="24"/>
          <w:szCs w:val="24"/>
          <w:lang w:val="en-IN" w:eastAsia="en-IN"/>
        </w:rPr>
      </w:pPr>
      <w:r w:rsidRPr="00395260">
        <w:rPr>
          <w:rFonts w:ascii="Times New Roman" w:eastAsia="Times New Roman" w:hAnsi="Times New Roman" w:cs="Times New Roman"/>
          <w:sz w:val="24"/>
          <w:szCs w:val="24"/>
          <w:lang w:val="en-IN" w:eastAsia="en-IN"/>
        </w:rPr>
        <w:t xml:space="preserve">Fibrinogen or factor I is converted to fibrin by thrombin. Thrombin forms fibrin monomers that polymerise to form long fibrin threads. These are stabilised by the factor XIII or fibrin stabilising factor. The fibrin stabilising factor is activated by thrombin to form factor </w:t>
      </w:r>
      <w:proofErr w:type="spellStart"/>
      <w:r w:rsidRPr="00395260">
        <w:rPr>
          <w:rFonts w:ascii="Times New Roman" w:eastAsia="Times New Roman" w:hAnsi="Times New Roman" w:cs="Times New Roman"/>
          <w:sz w:val="24"/>
          <w:szCs w:val="24"/>
          <w:lang w:val="en-IN" w:eastAsia="en-IN"/>
        </w:rPr>
        <w:t>XIIIa</w:t>
      </w:r>
      <w:proofErr w:type="spellEnd"/>
      <w:r w:rsidRPr="00395260">
        <w:rPr>
          <w:rFonts w:ascii="Times New Roman" w:eastAsia="Times New Roman" w:hAnsi="Times New Roman" w:cs="Times New Roman"/>
          <w:sz w:val="24"/>
          <w:szCs w:val="24"/>
          <w:lang w:val="en-IN" w:eastAsia="en-IN"/>
        </w:rPr>
        <w:t>. The activated fibrin stabilising factor (</w:t>
      </w:r>
      <w:proofErr w:type="spellStart"/>
      <w:r w:rsidRPr="00395260">
        <w:rPr>
          <w:rFonts w:ascii="Times New Roman" w:eastAsia="Times New Roman" w:hAnsi="Times New Roman" w:cs="Times New Roman"/>
          <w:sz w:val="24"/>
          <w:szCs w:val="24"/>
          <w:lang w:val="en-IN" w:eastAsia="en-IN"/>
        </w:rPr>
        <w:t>XIIIa</w:t>
      </w:r>
      <w:proofErr w:type="spellEnd"/>
      <w:r w:rsidRPr="00395260">
        <w:rPr>
          <w:rFonts w:ascii="Times New Roman" w:eastAsia="Times New Roman" w:hAnsi="Times New Roman" w:cs="Times New Roman"/>
          <w:sz w:val="24"/>
          <w:szCs w:val="24"/>
          <w:lang w:val="en-IN" w:eastAsia="en-IN"/>
        </w:rPr>
        <w:t>) forms cross-linking between fibrin threads in the presence of Ca</w:t>
      </w:r>
      <w:r w:rsidRPr="00395260">
        <w:rPr>
          <w:rFonts w:ascii="Times New Roman" w:eastAsia="Times New Roman" w:hAnsi="Times New Roman" w:cs="Times New Roman"/>
          <w:sz w:val="24"/>
          <w:szCs w:val="24"/>
          <w:vertAlign w:val="superscript"/>
          <w:lang w:val="en-IN" w:eastAsia="en-IN"/>
        </w:rPr>
        <w:t>2+</w:t>
      </w:r>
      <w:r w:rsidRPr="00395260">
        <w:rPr>
          <w:rFonts w:ascii="Times New Roman" w:eastAsia="Times New Roman" w:hAnsi="Times New Roman" w:cs="Times New Roman"/>
          <w:sz w:val="24"/>
          <w:szCs w:val="24"/>
          <w:lang w:val="en-IN" w:eastAsia="en-IN"/>
        </w:rPr>
        <w:t> and stabilises the fibrin meshwork. The fibrin mesh traps the formed elements to form a solid mass called a clot.</w:t>
      </w:r>
    </w:p>
    <w:p w14:paraId="39984004" w14:textId="77777777" w:rsidR="00395260" w:rsidRPr="00395260" w:rsidRDefault="00395260" w:rsidP="00395260">
      <w:pPr>
        <w:pStyle w:val="NormalWeb"/>
        <w:shd w:val="clear" w:color="auto" w:fill="FFFFFF"/>
        <w:spacing w:before="0" w:beforeAutospacing="0" w:after="0" w:afterAutospacing="0" w:line="360" w:lineRule="auto"/>
        <w:jc w:val="both"/>
      </w:pPr>
    </w:p>
    <w:p w14:paraId="6ECDD36F" w14:textId="77777777" w:rsidR="00395260" w:rsidRPr="00395260" w:rsidRDefault="00395260" w:rsidP="00395260">
      <w:pPr>
        <w:autoSpaceDE w:val="0"/>
        <w:autoSpaceDN w:val="0"/>
        <w:adjustRightInd w:val="0"/>
        <w:spacing w:after="0" w:line="360" w:lineRule="auto"/>
        <w:jc w:val="both"/>
        <w:rPr>
          <w:rFonts w:ascii="Times New Roman" w:hAnsi="Times New Roman" w:cs="Times New Roman"/>
          <w:sz w:val="24"/>
          <w:szCs w:val="24"/>
        </w:rPr>
      </w:pPr>
    </w:p>
    <w:p w14:paraId="42A3E8C2" w14:textId="77777777" w:rsidR="0079366E" w:rsidRPr="00395260" w:rsidRDefault="0079366E" w:rsidP="00395260">
      <w:pPr>
        <w:spacing w:after="0" w:line="360" w:lineRule="auto"/>
        <w:jc w:val="both"/>
        <w:rPr>
          <w:rFonts w:ascii="Times New Roman" w:hAnsi="Times New Roman" w:cs="Times New Roman"/>
          <w:sz w:val="24"/>
          <w:szCs w:val="24"/>
        </w:rPr>
      </w:pPr>
    </w:p>
    <w:sectPr w:rsidR="0079366E" w:rsidRPr="00395260" w:rsidSect="0050689C">
      <w:headerReference w:type="even" r:id="rId9"/>
      <w:headerReference w:type="default" r:id="rId10"/>
      <w:footerReference w:type="default" r:id="rId11"/>
      <w:headerReference w:type="first" r:id="rId12"/>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FDE48C" w14:textId="77777777" w:rsidR="004D5B75" w:rsidRDefault="004D5B75" w:rsidP="00DB570F">
      <w:pPr>
        <w:spacing w:after="0" w:line="240" w:lineRule="auto"/>
      </w:pPr>
      <w:r>
        <w:separator/>
      </w:r>
    </w:p>
  </w:endnote>
  <w:endnote w:type="continuationSeparator" w:id="0">
    <w:p w14:paraId="229428E9" w14:textId="77777777" w:rsidR="004D5B75" w:rsidRDefault="004D5B75"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5EEBCE" w14:textId="77777777" w:rsidR="004D5B75" w:rsidRDefault="004D5B75" w:rsidP="00DB570F">
      <w:pPr>
        <w:spacing w:after="0" w:line="240" w:lineRule="auto"/>
      </w:pPr>
      <w:r>
        <w:separator/>
      </w:r>
    </w:p>
  </w:footnote>
  <w:footnote w:type="continuationSeparator" w:id="0">
    <w:p w14:paraId="2FD6A894" w14:textId="77777777" w:rsidR="004D5B75" w:rsidRDefault="004D5B75"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8D79FC"/>
    <w:multiLevelType w:val="hybridMultilevel"/>
    <w:tmpl w:val="60D439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4"/>
  </w:num>
  <w:num w:numId="2" w16cid:durableId="882788327">
    <w:abstractNumId w:val="2"/>
  </w:num>
  <w:num w:numId="3" w16cid:durableId="534850071">
    <w:abstractNumId w:val="5"/>
  </w:num>
  <w:num w:numId="4" w16cid:durableId="1540898263">
    <w:abstractNumId w:val="0"/>
  </w:num>
  <w:num w:numId="5" w16cid:durableId="668142752">
    <w:abstractNumId w:val="3"/>
  </w:num>
  <w:num w:numId="6" w16cid:durableId="345982275">
    <w:abstractNumId w:val="8"/>
  </w:num>
  <w:num w:numId="7" w16cid:durableId="767699102">
    <w:abstractNumId w:val="6"/>
  </w:num>
  <w:num w:numId="8" w16cid:durableId="1226799421">
    <w:abstractNumId w:val="7"/>
  </w:num>
  <w:num w:numId="9" w16cid:durableId="2052609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201E45"/>
    <w:rsid w:val="0025553D"/>
    <w:rsid w:val="00263E24"/>
    <w:rsid w:val="00273CCA"/>
    <w:rsid w:val="00295766"/>
    <w:rsid w:val="002C0628"/>
    <w:rsid w:val="002D794E"/>
    <w:rsid w:val="00377796"/>
    <w:rsid w:val="00395260"/>
    <w:rsid w:val="00491A34"/>
    <w:rsid w:val="004C37A3"/>
    <w:rsid w:val="004D5B75"/>
    <w:rsid w:val="0050689C"/>
    <w:rsid w:val="00517FE9"/>
    <w:rsid w:val="00541D2F"/>
    <w:rsid w:val="00657CCB"/>
    <w:rsid w:val="00673A43"/>
    <w:rsid w:val="007154AB"/>
    <w:rsid w:val="007300CE"/>
    <w:rsid w:val="00751766"/>
    <w:rsid w:val="00767F40"/>
    <w:rsid w:val="0079366E"/>
    <w:rsid w:val="008D61C5"/>
    <w:rsid w:val="008F2DB3"/>
    <w:rsid w:val="009517CE"/>
    <w:rsid w:val="00997E8F"/>
    <w:rsid w:val="009A76D7"/>
    <w:rsid w:val="00A01EA9"/>
    <w:rsid w:val="00A37C51"/>
    <w:rsid w:val="00AF052D"/>
    <w:rsid w:val="00B9514D"/>
    <w:rsid w:val="00BA3D19"/>
    <w:rsid w:val="00BC37A9"/>
    <w:rsid w:val="00C30118"/>
    <w:rsid w:val="00C603C6"/>
    <w:rsid w:val="00D075CB"/>
    <w:rsid w:val="00D43D7E"/>
    <w:rsid w:val="00DA1A81"/>
    <w:rsid w:val="00DB570F"/>
    <w:rsid w:val="00E17D20"/>
    <w:rsid w:val="00E2197E"/>
    <w:rsid w:val="00E8546D"/>
    <w:rsid w:val="00F0040D"/>
    <w:rsid w:val="00F2198A"/>
    <w:rsid w:val="00F423D3"/>
    <w:rsid w:val="00F52E84"/>
    <w:rsid w:val="00F54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semiHidden/>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yjus.com/neet/thrombin-not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941</Words>
  <Characters>5235</Characters>
  <Application>Microsoft Office Word</Application>
  <DocSecurity>0</DocSecurity>
  <Lines>104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2024-05-23T14:31:00Z</dcterms:created>
  <dcterms:modified xsi:type="dcterms:W3CDTF">2024-05-23T14:31:00Z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