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51F0F" w14:textId="77777777" w:rsidR="00F9519D" w:rsidRDefault="00F9519D" w:rsidP="00F9519D">
      <w:pPr>
        <w:pStyle w:val="Title"/>
      </w:pPr>
      <w:r>
        <w:t>Erectile</w:t>
      </w:r>
      <w:r>
        <w:rPr>
          <w:spacing w:val="-4"/>
        </w:rPr>
        <w:t xml:space="preserve"> </w:t>
      </w:r>
      <w:r>
        <w:t>Dysfunction</w:t>
      </w:r>
      <w:r>
        <w:rPr>
          <w:spacing w:val="-3"/>
        </w:rPr>
        <w:t xml:space="preserve"> </w:t>
      </w:r>
      <w:r>
        <w:t>(ED)</w:t>
      </w:r>
    </w:p>
    <w:p w14:paraId="76656101" w14:textId="77777777" w:rsidR="00F9519D" w:rsidRDefault="00F9519D" w:rsidP="00F9519D">
      <w:pPr>
        <w:pStyle w:val="BodyText"/>
        <w:spacing w:before="208" w:line="400" w:lineRule="auto"/>
        <w:ind w:left="119" w:right="426"/>
      </w:pPr>
      <w:r>
        <w:t>Erectile dysfunction is defined as “the failure to achieve a penile erection to allow for satisfactory sexual intercourse”</w:t>
      </w:r>
      <w:r>
        <w:rPr>
          <w:spacing w:val="-47"/>
        </w:rPr>
        <w:t xml:space="preserve"> </w:t>
      </w:r>
      <w:r>
        <w:t>Patients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refer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as impotence</w:t>
      </w:r>
    </w:p>
    <w:p w14:paraId="2A476C69" w14:textId="77777777" w:rsidR="00F9519D" w:rsidRDefault="00F9519D" w:rsidP="00F9519D">
      <w:pPr>
        <w:pStyle w:val="Heading1"/>
        <w:spacing w:before="0" w:line="389" w:lineRule="exact"/>
      </w:pPr>
      <w:r>
        <w:rPr>
          <w:u w:val="thick"/>
        </w:rPr>
        <w:t>Main</w:t>
      </w:r>
      <w:r>
        <w:rPr>
          <w:spacing w:val="-4"/>
          <w:u w:val="thick"/>
        </w:rPr>
        <w:t xml:space="preserve"> </w:t>
      </w:r>
      <w:r>
        <w:rPr>
          <w:u w:val="thick"/>
        </w:rPr>
        <w:t>Causes</w:t>
      </w:r>
      <w:r>
        <w:rPr>
          <w:spacing w:val="-2"/>
          <w:u w:val="thick"/>
        </w:rPr>
        <w:t xml:space="preserve"> </w:t>
      </w:r>
      <w:r>
        <w:rPr>
          <w:u w:val="thick"/>
        </w:rPr>
        <w:t>of ED</w:t>
      </w:r>
    </w:p>
    <w:p w14:paraId="1116B42A" w14:textId="77777777" w:rsidR="00F9519D" w:rsidRDefault="00F9519D" w:rsidP="00F9519D">
      <w:pPr>
        <w:pStyle w:val="BodyText"/>
        <w:rPr>
          <w:b/>
          <w:sz w:val="20"/>
        </w:rPr>
      </w:pPr>
    </w:p>
    <w:p w14:paraId="2F0A75B1" w14:textId="77777777" w:rsidR="00F9519D" w:rsidRDefault="00F9519D" w:rsidP="00F9519D">
      <w:pPr>
        <w:pStyle w:val="BodyText"/>
        <w:spacing w:before="2"/>
        <w:rPr>
          <w:b/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0288" behindDoc="0" locked="0" layoutInCell="1" allowOverlap="1" wp14:anchorId="335615BC" wp14:editId="088C90E3">
            <wp:simplePos x="0" y="0"/>
            <wp:positionH relativeFrom="page">
              <wp:posOffset>673735</wp:posOffset>
            </wp:positionH>
            <wp:positionV relativeFrom="paragraph">
              <wp:posOffset>111760</wp:posOffset>
            </wp:positionV>
            <wp:extent cx="6515735" cy="3619500"/>
            <wp:effectExtent l="0" t="0" r="0" b="0"/>
            <wp:wrapTopAndBottom/>
            <wp:docPr id="44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735" cy="361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51D740" w14:textId="77777777" w:rsidR="00F9519D" w:rsidRDefault="00F9519D" w:rsidP="00F9519D">
      <w:pPr>
        <w:pStyle w:val="BodyText"/>
        <w:spacing w:before="2"/>
        <w:rPr>
          <w:b/>
          <w:sz w:val="8"/>
        </w:rPr>
      </w:pPr>
    </w:p>
    <w:p w14:paraId="41BB84D2" w14:textId="77777777" w:rsidR="00F9519D" w:rsidRDefault="00F9519D" w:rsidP="00F9519D">
      <w:pPr>
        <w:spacing w:before="35"/>
        <w:ind w:left="119"/>
        <w:rPr>
          <w:b/>
          <w:sz w:val="32"/>
        </w:rPr>
      </w:pPr>
      <w:r>
        <w:rPr>
          <w:b/>
          <w:sz w:val="32"/>
          <w:u w:val="thick"/>
        </w:rPr>
        <w:t>Etiology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of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ED</w:t>
      </w:r>
    </w:p>
    <w:p w14:paraId="51E34C92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  <w:rPr>
          <w:b/>
        </w:rPr>
      </w:pPr>
      <w:r>
        <w:rPr>
          <w:b/>
        </w:rPr>
        <w:t>Psychogenic</w:t>
      </w:r>
    </w:p>
    <w:p w14:paraId="17FD668A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56" w:lineRule="auto"/>
        <w:ind w:left="839" w:right="723"/>
        <w:contextualSpacing w:val="0"/>
      </w:pPr>
      <w:proofErr w:type="gramStart"/>
      <w:r>
        <w:rPr>
          <w:b/>
        </w:rPr>
        <w:t>Vasculogenic :</w:t>
      </w:r>
      <w:proofErr w:type="gramEnd"/>
      <w:r>
        <w:rPr>
          <w:b/>
        </w:rPr>
        <w:t xml:space="preserve"> - </w:t>
      </w:r>
      <w:r>
        <w:t>Cardiovascular disease - Hypertension - Diabetes mellitus - Major surgery or radiotherapy</w:t>
      </w:r>
      <w:r>
        <w:rPr>
          <w:spacing w:val="-47"/>
        </w:rPr>
        <w:t xml:space="preserve"> </w:t>
      </w:r>
      <w:r>
        <w:t>(pelvis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proofErr w:type="spellStart"/>
      <w:r>
        <w:t>etroperitoneum</w:t>
      </w:r>
      <w:proofErr w:type="spellEnd"/>
      <w:r>
        <w:t>).</w:t>
      </w:r>
    </w:p>
    <w:p w14:paraId="6F538C61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1" w:after="0" w:line="256" w:lineRule="auto"/>
        <w:ind w:left="839" w:right="441"/>
        <w:contextualSpacing w:val="0"/>
      </w:pPr>
      <w:r>
        <w:rPr>
          <w:b/>
        </w:rPr>
        <w:t xml:space="preserve">Neurogenic Central causes </w:t>
      </w:r>
      <w:r>
        <w:t xml:space="preserve">- Multiple sclerosis - Parkinson’s disease - Tumors - Stroke - Spinal cord </w:t>
      </w:r>
      <w:proofErr w:type="gramStart"/>
      <w:r>
        <w:t>disorders(</w:t>
      </w:r>
      <w:r>
        <w:rPr>
          <w:spacing w:val="-47"/>
        </w:rPr>
        <w:t xml:space="preserve"> </w:t>
      </w:r>
      <w:r>
        <w:t>disc</w:t>
      </w:r>
      <w:proofErr w:type="gramEnd"/>
      <w:r>
        <w:t xml:space="preserve"> disease ) Peripheral causes - Diabetes mellitus - Alcoholism - Polyneuropathy - Surgery (pelvis or</w:t>
      </w:r>
      <w:r>
        <w:rPr>
          <w:spacing w:val="1"/>
        </w:rPr>
        <w:t xml:space="preserve"> </w:t>
      </w:r>
      <w:r>
        <w:t>retroperitoneum).</w:t>
      </w:r>
    </w:p>
    <w:p w14:paraId="733D53AE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0" w:after="0" w:line="240" w:lineRule="auto"/>
        <w:ind w:hanging="361"/>
        <w:contextualSpacing w:val="0"/>
      </w:pPr>
      <w:r>
        <w:rPr>
          <w:b/>
        </w:rPr>
        <w:t>Anatomical</w:t>
      </w:r>
      <w:r>
        <w:rPr>
          <w:b/>
          <w:spacing w:val="-4"/>
        </w:rPr>
        <w:t xml:space="preserve"> </w:t>
      </w:r>
      <w:r>
        <w:rPr>
          <w:b/>
        </w:rPr>
        <w:t>/</w:t>
      </w:r>
      <w:r>
        <w:rPr>
          <w:b/>
          <w:spacing w:val="-1"/>
        </w:rPr>
        <w:t xml:space="preserve"> </w:t>
      </w:r>
      <w:r>
        <w:rPr>
          <w:b/>
        </w:rPr>
        <w:t>structural</w:t>
      </w:r>
      <w:r>
        <w:rPr>
          <w:b/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proofErr w:type="spellStart"/>
      <w:r>
        <w:t>Peyronie’s</w:t>
      </w:r>
      <w:proofErr w:type="spellEnd"/>
      <w:r>
        <w:rPr>
          <w:spacing w:val="-3"/>
        </w:rPr>
        <w:t xml:space="preserve"> </w:t>
      </w:r>
      <w:r>
        <w:t>disease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Penile</w:t>
      </w:r>
      <w:r>
        <w:rPr>
          <w:spacing w:val="-1"/>
        </w:rPr>
        <w:t xml:space="preserve"> </w:t>
      </w:r>
      <w:r>
        <w:t>fracture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Congenital</w:t>
      </w:r>
      <w:r>
        <w:rPr>
          <w:spacing w:val="-5"/>
        </w:rPr>
        <w:t xml:space="preserve"> </w:t>
      </w:r>
      <w:r>
        <w:t>curvature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penis</w:t>
      </w:r>
    </w:p>
    <w:p w14:paraId="12C03087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rPr>
          <w:b/>
        </w:rPr>
        <w:t>Hormonal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</w:rPr>
        <w:t>Hypogonadism</w:t>
      </w:r>
      <w:r>
        <w:rPr>
          <w:b/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Hyperprolactinemia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Hyper-and</w:t>
      </w:r>
      <w:r>
        <w:rPr>
          <w:spacing w:val="-3"/>
        </w:rPr>
        <w:t xml:space="preserve"> </w:t>
      </w:r>
      <w:r>
        <w:t>hypothyroidism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Cushing's</w:t>
      </w:r>
      <w:r>
        <w:rPr>
          <w:spacing w:val="-3"/>
        </w:rPr>
        <w:t xml:space="preserve"> </w:t>
      </w:r>
      <w:r>
        <w:t>disease.</w:t>
      </w:r>
    </w:p>
    <w:p w14:paraId="72125753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right="184"/>
        <w:contextualSpacing w:val="0"/>
      </w:pPr>
      <w:r>
        <w:rPr>
          <w:b/>
        </w:rPr>
        <w:lastRenderedPageBreak/>
        <w:t xml:space="preserve">Drug-induced </w:t>
      </w:r>
      <w:r>
        <w:t>- Antihypertensives (beta-</w:t>
      </w:r>
      <w:proofErr w:type="spellStart"/>
      <w:proofErr w:type="gramStart"/>
      <w:r>
        <w:t>blocker,thiazide</w:t>
      </w:r>
      <w:proofErr w:type="spellEnd"/>
      <w:proofErr w:type="gramEnd"/>
      <w:r>
        <w:t xml:space="preserve"> and clonidine .less with ACE inhibitors ) -</w:t>
      </w:r>
      <w:r>
        <w:rPr>
          <w:spacing w:val="1"/>
        </w:rPr>
        <w:t xml:space="preserve"> </w:t>
      </w:r>
      <w:r>
        <w:t>Antidepressants</w:t>
      </w:r>
      <w:r>
        <w:rPr>
          <w:spacing w:val="-5"/>
        </w:rPr>
        <w:t xml:space="preserve"> </w:t>
      </w:r>
      <w:r>
        <w:t>(tricyclic</w:t>
      </w:r>
      <w:r>
        <w:rPr>
          <w:spacing w:val="-4"/>
        </w:rPr>
        <w:t xml:space="preserve"> </w:t>
      </w:r>
      <w:r>
        <w:t>antidepressants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MAO</w:t>
      </w:r>
      <w:r>
        <w:rPr>
          <w:spacing w:val="-4"/>
        </w:rPr>
        <w:t xml:space="preserve"> </w:t>
      </w:r>
      <w:proofErr w:type="spellStart"/>
      <w:r>
        <w:t>inihibitor</w:t>
      </w:r>
      <w:proofErr w:type="spellEnd"/>
      <w:r>
        <w:t>)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Antipsychotics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Antiandrogens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Antihistamines</w:t>
      </w:r>
    </w:p>
    <w:p w14:paraId="44ACF267" w14:textId="77777777" w:rsidR="00F9519D" w:rsidRDefault="00F9519D" w:rsidP="00F9519D">
      <w:pPr>
        <w:pStyle w:val="BodyText"/>
        <w:spacing w:before="1"/>
      </w:pPr>
      <w:r>
        <w:t>-</w:t>
      </w:r>
      <w:r>
        <w:rPr>
          <w:spacing w:val="-2"/>
        </w:rPr>
        <w:t xml:space="preserve"> </w:t>
      </w:r>
      <w:r>
        <w:t>Recreational</w:t>
      </w:r>
      <w:r>
        <w:rPr>
          <w:spacing w:val="-5"/>
        </w:rPr>
        <w:t xml:space="preserve"> </w:t>
      </w:r>
      <w:r>
        <w:t>drugs</w:t>
      </w:r>
      <w:r>
        <w:rPr>
          <w:spacing w:val="-1"/>
        </w:rPr>
        <w:t xml:space="preserve"> </w:t>
      </w:r>
      <w:r>
        <w:t>(Heroin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cocaine)</w:t>
      </w:r>
    </w:p>
    <w:p w14:paraId="39DC3EF2" w14:textId="77777777" w:rsidR="00F9519D" w:rsidRDefault="00F9519D" w:rsidP="00F9519D">
      <w:pPr>
        <w:spacing w:after="0"/>
        <w:sectPr w:rsidR="00F951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680" w:right="620" w:bottom="540" w:left="600" w:header="58" w:footer="350" w:gutter="0"/>
          <w:pgBorders w:offsetFrom="page">
            <w:top w:val="thinThickSmallGap" w:sz="24" w:space="25" w:color="FF0000"/>
            <w:left w:val="thinThickSmallGap" w:sz="24" w:space="25" w:color="FF0000"/>
            <w:bottom w:val="thickThinSmallGap" w:sz="24" w:space="25" w:color="FF0000"/>
            <w:right w:val="thickThinSmallGap" w:sz="24" w:space="25" w:color="FF0000"/>
          </w:pgBorders>
          <w:pgNumType w:start="1"/>
          <w:cols w:space="720"/>
        </w:sectPr>
      </w:pPr>
    </w:p>
    <w:p w14:paraId="5167A879" w14:textId="77777777" w:rsidR="00F9519D" w:rsidRDefault="00F9519D" w:rsidP="00F9519D">
      <w:pPr>
        <w:pStyle w:val="BodyText"/>
        <w:spacing w:before="2"/>
        <w:rPr>
          <w:sz w:val="10"/>
        </w:rPr>
      </w:pPr>
    </w:p>
    <w:p w14:paraId="10B70CA4" w14:textId="77777777" w:rsidR="00F9519D" w:rsidRDefault="00F9519D" w:rsidP="00F9519D">
      <w:pPr>
        <w:pStyle w:val="BodyText"/>
        <w:ind w:left="743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139F01CD" wp14:editId="5614C4D4">
            <wp:extent cx="6111240" cy="4145280"/>
            <wp:effectExtent l="0" t="0" r="3810" b="7620"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CAB85" w14:textId="77777777" w:rsidR="00F9519D" w:rsidRDefault="00F9519D" w:rsidP="00F9519D">
      <w:pPr>
        <w:pStyle w:val="BodyText"/>
        <w:rPr>
          <w:sz w:val="13"/>
        </w:rPr>
      </w:pPr>
    </w:p>
    <w:p w14:paraId="38FCF325" w14:textId="77777777" w:rsidR="00F9519D" w:rsidRDefault="00F9519D" w:rsidP="00F9519D">
      <w:pPr>
        <w:pStyle w:val="Heading1"/>
        <w:rPr>
          <w:sz w:val="32"/>
        </w:rPr>
      </w:pPr>
      <w:r>
        <w:rPr>
          <w:u w:val="thick"/>
        </w:rPr>
        <w:t>Process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Erection</w:t>
      </w:r>
    </w:p>
    <w:p w14:paraId="5B08A682" w14:textId="77777777" w:rsidR="00F9519D" w:rsidRDefault="00F9519D" w:rsidP="00F9519D">
      <w:pPr>
        <w:pStyle w:val="BodyText"/>
        <w:spacing w:before="4"/>
        <w:rPr>
          <w:b/>
          <w:sz w:val="12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61312" behindDoc="0" locked="0" layoutInCell="1" allowOverlap="1" wp14:anchorId="75CFCB0F" wp14:editId="3FADFAAE">
            <wp:simplePos x="0" y="0"/>
            <wp:positionH relativeFrom="page">
              <wp:posOffset>1240790</wp:posOffset>
            </wp:positionH>
            <wp:positionV relativeFrom="paragraph">
              <wp:posOffset>120650</wp:posOffset>
            </wp:positionV>
            <wp:extent cx="5205730" cy="4164330"/>
            <wp:effectExtent l="0" t="0" r="0" b="7620"/>
            <wp:wrapTopAndBottom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730" cy="4164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E8C1C9" w14:textId="77777777" w:rsidR="00F9519D" w:rsidRDefault="00F9519D" w:rsidP="00F9519D">
      <w:pPr>
        <w:spacing w:after="0"/>
        <w:rPr>
          <w:sz w:val="12"/>
        </w:rPr>
        <w:sectPr w:rsidR="00F9519D">
          <w:pgSz w:w="12240" w:h="15840"/>
          <w:pgMar w:top="680" w:right="620" w:bottom="540" w:left="600" w:header="58" w:footer="350" w:gutter="0"/>
          <w:pgBorders w:offsetFrom="page">
            <w:top w:val="thinThickSmallGap" w:sz="24" w:space="25" w:color="FF0000"/>
            <w:left w:val="thinThickSmallGap" w:sz="24" w:space="25" w:color="FF0000"/>
            <w:bottom w:val="thickThinSmallGap" w:sz="24" w:space="25" w:color="FF0000"/>
            <w:right w:val="thickThinSmallGap" w:sz="24" w:space="25" w:color="FF0000"/>
          </w:pgBorders>
          <w:cols w:space="720"/>
        </w:sectPr>
      </w:pPr>
    </w:p>
    <w:p w14:paraId="7D5F1FD2" w14:textId="77777777" w:rsidR="00F9519D" w:rsidRDefault="00F9519D" w:rsidP="00F9519D">
      <w:pPr>
        <w:spacing w:before="24"/>
        <w:ind w:left="119"/>
        <w:rPr>
          <w:b/>
          <w:sz w:val="32"/>
        </w:rPr>
      </w:pPr>
      <w:r>
        <w:rPr>
          <w:b/>
          <w:sz w:val="32"/>
          <w:u w:val="thick"/>
        </w:rPr>
        <w:lastRenderedPageBreak/>
        <w:t>Pathophysiology</w:t>
      </w:r>
    </w:p>
    <w:p w14:paraId="4554B965" w14:textId="77777777" w:rsidR="00F9519D" w:rsidRDefault="00F9519D" w:rsidP="00F9519D">
      <w:pPr>
        <w:pStyle w:val="BodyText"/>
        <w:spacing w:before="8"/>
        <w:rPr>
          <w:b/>
          <w:sz w:val="23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1076C559" wp14:editId="377D9C88">
            <wp:simplePos x="0" y="0"/>
            <wp:positionH relativeFrom="page">
              <wp:posOffset>715010</wp:posOffset>
            </wp:positionH>
            <wp:positionV relativeFrom="paragraph">
              <wp:posOffset>208280</wp:posOffset>
            </wp:positionV>
            <wp:extent cx="6379210" cy="3444240"/>
            <wp:effectExtent l="0" t="0" r="2540" b="3810"/>
            <wp:wrapTopAndBottom/>
            <wp:docPr id="43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10" cy="3444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592624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31" w:after="0" w:line="256" w:lineRule="auto"/>
        <w:ind w:right="741" w:hanging="361"/>
        <w:contextualSpacing w:val="0"/>
      </w:pPr>
      <w:r>
        <w:t>Any single abnormality or combination of abnormalities of the four systems necessary for a normal penile</w:t>
      </w:r>
      <w:r>
        <w:rPr>
          <w:spacing w:val="-47"/>
        </w:rPr>
        <w:t xml:space="preserve"> </w:t>
      </w:r>
      <w:r>
        <w:t>erection</w:t>
      </w:r>
    </w:p>
    <w:p w14:paraId="1D1913BD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56" w:lineRule="auto"/>
        <w:ind w:right="800" w:hanging="361"/>
        <w:contextualSpacing w:val="0"/>
        <w:rPr>
          <w:i/>
        </w:rPr>
      </w:pPr>
      <w:r>
        <w:t xml:space="preserve">Vascular, neurologic, or hormonal etiologies of erectile dysfunction are collectively referred to as </w:t>
      </w:r>
      <w:r>
        <w:rPr>
          <w:i/>
        </w:rPr>
        <w:t>organic</w:t>
      </w:r>
      <w:r>
        <w:rPr>
          <w:i/>
          <w:spacing w:val="-47"/>
        </w:rPr>
        <w:t xml:space="preserve"> </w:t>
      </w:r>
      <w:r>
        <w:rPr>
          <w:i/>
        </w:rPr>
        <w:t>erectile</w:t>
      </w:r>
      <w:r>
        <w:rPr>
          <w:i/>
          <w:spacing w:val="-2"/>
        </w:rPr>
        <w:t xml:space="preserve"> </w:t>
      </w:r>
      <w:r>
        <w:rPr>
          <w:i/>
        </w:rPr>
        <w:t>dysfunction</w:t>
      </w:r>
    </w:p>
    <w:p w14:paraId="6616F946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59" w:after="0" w:line="240" w:lineRule="auto"/>
        <w:ind w:hanging="361"/>
        <w:contextualSpacing w:val="0"/>
        <w:rPr>
          <w:i/>
        </w:rPr>
      </w:pPr>
      <w:r>
        <w:t>Patients</w:t>
      </w:r>
      <w:r>
        <w:rPr>
          <w:spacing w:val="-4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respond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psychogenic</w:t>
      </w:r>
      <w:r>
        <w:rPr>
          <w:spacing w:val="-3"/>
        </w:rPr>
        <w:t xml:space="preserve"> </w:t>
      </w:r>
      <w:r>
        <w:t>stimuli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rPr>
          <w:i/>
        </w:rPr>
        <w:t>psychogenic</w:t>
      </w:r>
      <w:r>
        <w:rPr>
          <w:i/>
          <w:spacing w:val="-4"/>
        </w:rPr>
        <w:t xml:space="preserve"> </w:t>
      </w:r>
      <w:r>
        <w:rPr>
          <w:i/>
        </w:rPr>
        <w:t>erectile</w:t>
      </w:r>
      <w:r>
        <w:rPr>
          <w:i/>
          <w:spacing w:val="-4"/>
        </w:rPr>
        <w:t xml:space="preserve"> </w:t>
      </w:r>
      <w:r>
        <w:rPr>
          <w:i/>
        </w:rPr>
        <w:t>dysfunction</w:t>
      </w:r>
    </w:p>
    <w:p w14:paraId="1A65D470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3" w:after="0" w:line="254" w:lineRule="auto"/>
        <w:ind w:right="1103"/>
        <w:contextualSpacing w:val="0"/>
      </w:pPr>
      <w:r>
        <w:t>Diseases that compromise vascular flow to the corpora cavernosum (e.g., peripheral vascular disease,</w:t>
      </w:r>
      <w:r>
        <w:rPr>
          <w:spacing w:val="-47"/>
        </w:rPr>
        <w:t xml:space="preserve"> </w:t>
      </w:r>
      <w:r>
        <w:t>arteriosclerosis,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essential hypertension) increases</w:t>
      </w:r>
      <w:r>
        <w:rPr>
          <w:spacing w:val="-2"/>
        </w:rPr>
        <w:t xml:space="preserve"> </w:t>
      </w:r>
      <w:r>
        <w:t>incidence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ED</w:t>
      </w:r>
    </w:p>
    <w:p w14:paraId="4F9396A4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64" w:after="0" w:line="256" w:lineRule="auto"/>
        <w:ind w:right="381"/>
        <w:contextualSpacing w:val="0"/>
      </w:pPr>
      <w:r>
        <w:t>Diseases that impair nerve conduction to the brain (e.g., spinal cord injury or stroke) or conditions that impair</w:t>
      </w:r>
      <w:r>
        <w:rPr>
          <w:spacing w:val="-47"/>
        </w:rPr>
        <w:t xml:space="preserve"> </w:t>
      </w:r>
      <w:r>
        <w:t>peripheral nerve</w:t>
      </w:r>
      <w:r>
        <w:rPr>
          <w:spacing w:val="1"/>
        </w:rPr>
        <w:t xml:space="preserve"> </w:t>
      </w:r>
      <w:r>
        <w:t>conduction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penile</w:t>
      </w:r>
      <w:r>
        <w:rPr>
          <w:spacing w:val="-2"/>
        </w:rPr>
        <w:t xml:space="preserve"> </w:t>
      </w:r>
      <w:r>
        <w:t>vasculature</w:t>
      </w:r>
    </w:p>
    <w:p w14:paraId="6C06F621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59" w:after="0" w:line="256" w:lineRule="auto"/>
        <w:ind w:right="354"/>
        <w:contextualSpacing w:val="0"/>
      </w:pPr>
      <w:r>
        <w:t xml:space="preserve">Diseases associated with hypogonadism, primary or secondary, result in </w:t>
      </w:r>
      <w:proofErr w:type="spellStart"/>
      <w:r>
        <w:t>subphysiologic</w:t>
      </w:r>
      <w:proofErr w:type="spellEnd"/>
      <w:r>
        <w:t xml:space="preserve"> levels of testosterone,</w:t>
      </w:r>
      <w:r>
        <w:rPr>
          <w:spacing w:val="-47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cause</w:t>
      </w:r>
      <w:r>
        <w:rPr>
          <w:spacing w:val="-2"/>
        </w:rPr>
        <w:t xml:space="preserve"> </w:t>
      </w:r>
      <w:r>
        <w:t>diminished</w:t>
      </w:r>
      <w:r>
        <w:rPr>
          <w:spacing w:val="-4"/>
        </w:rPr>
        <w:t xml:space="preserve"> </w:t>
      </w:r>
      <w:r>
        <w:t>sexual drive</w:t>
      </w:r>
      <w:r>
        <w:rPr>
          <w:spacing w:val="-2"/>
        </w:rPr>
        <w:t xml:space="preserve"> </w:t>
      </w:r>
      <w:r>
        <w:t>(decreased</w:t>
      </w:r>
      <w:r>
        <w:rPr>
          <w:spacing w:val="-2"/>
        </w:rPr>
        <w:t xml:space="preserve"> </w:t>
      </w:r>
      <w:r>
        <w:t>libido) and</w:t>
      </w:r>
      <w:r>
        <w:rPr>
          <w:spacing w:val="-2"/>
        </w:rPr>
        <w:t xml:space="preserve"> </w:t>
      </w:r>
      <w:r>
        <w:t>secondary</w:t>
      </w:r>
      <w:r>
        <w:rPr>
          <w:spacing w:val="-1"/>
        </w:rPr>
        <w:t xml:space="preserve"> </w:t>
      </w:r>
      <w:r>
        <w:t>erectile</w:t>
      </w:r>
      <w:r>
        <w:rPr>
          <w:spacing w:val="1"/>
        </w:rPr>
        <w:t xml:space="preserve"> </w:t>
      </w:r>
      <w:r>
        <w:t>dysfunction</w:t>
      </w:r>
    </w:p>
    <w:p w14:paraId="621D470C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59" w:after="0" w:line="256" w:lineRule="auto"/>
        <w:ind w:right="143"/>
        <w:contextualSpacing w:val="0"/>
      </w:pPr>
      <w:r>
        <w:t xml:space="preserve">Vasoconstrictor effect of cigarette smoking may compromise blood flow to the corpora and decrease </w:t>
      </w:r>
      <w:proofErr w:type="spellStart"/>
      <w:r>
        <w:t>cavernosal</w:t>
      </w:r>
      <w:proofErr w:type="spellEnd"/>
      <w:r>
        <w:rPr>
          <w:spacing w:val="-47"/>
        </w:rPr>
        <w:t xml:space="preserve"> </w:t>
      </w:r>
      <w:r>
        <w:t>filling</w:t>
      </w:r>
    </w:p>
    <w:p w14:paraId="183B8954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60" w:after="0" w:line="240" w:lineRule="auto"/>
        <w:ind w:hanging="361"/>
        <w:contextualSpacing w:val="0"/>
      </w:pPr>
      <w:r>
        <w:t>Excessive</w:t>
      </w:r>
      <w:r>
        <w:rPr>
          <w:spacing w:val="-4"/>
        </w:rPr>
        <w:t xml:space="preserve"> </w:t>
      </w:r>
      <w:r>
        <w:t>ethanol</w:t>
      </w:r>
      <w:r>
        <w:rPr>
          <w:spacing w:val="-2"/>
        </w:rPr>
        <w:t xml:space="preserve"> </w:t>
      </w:r>
      <w:r>
        <w:t>intake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lead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androgen</w:t>
      </w:r>
      <w:r>
        <w:rPr>
          <w:spacing w:val="-3"/>
        </w:rPr>
        <w:t xml:space="preserve"> </w:t>
      </w:r>
      <w:r>
        <w:t>deficiency,</w:t>
      </w:r>
      <w:r>
        <w:rPr>
          <w:spacing w:val="-2"/>
        </w:rPr>
        <w:t xml:space="preserve"> </w:t>
      </w:r>
      <w:r>
        <w:t>peripheral</w:t>
      </w:r>
      <w:r>
        <w:rPr>
          <w:spacing w:val="-5"/>
        </w:rPr>
        <w:t xml:space="preserve"> </w:t>
      </w:r>
      <w:r>
        <w:t>neuropathy</w:t>
      </w:r>
    </w:p>
    <w:p w14:paraId="3F10198E" w14:textId="77777777" w:rsidR="00F9519D" w:rsidRDefault="00F9519D" w:rsidP="00F9519D">
      <w:pPr>
        <w:spacing w:after="0"/>
        <w:sectPr w:rsidR="00F9519D">
          <w:pgSz w:w="12240" w:h="15840"/>
          <w:pgMar w:top="680" w:right="620" w:bottom="540" w:left="600" w:header="58" w:footer="350" w:gutter="0"/>
          <w:pgBorders w:offsetFrom="page">
            <w:top w:val="thinThickSmallGap" w:sz="24" w:space="25" w:color="FF0000"/>
            <w:left w:val="thinThickSmallGap" w:sz="24" w:space="25" w:color="FF0000"/>
            <w:bottom w:val="thickThinSmallGap" w:sz="24" w:space="25" w:color="FF0000"/>
            <w:right w:val="thickThinSmallGap" w:sz="24" w:space="25" w:color="FF0000"/>
          </w:pgBorders>
          <w:cols w:space="720"/>
        </w:sectPr>
      </w:pPr>
    </w:p>
    <w:p w14:paraId="67B145B5" w14:textId="77777777" w:rsidR="00F9519D" w:rsidRDefault="00F9519D" w:rsidP="00F9519D">
      <w:pPr>
        <w:pStyle w:val="BodyText"/>
        <w:spacing w:before="2"/>
        <w:rPr>
          <w:sz w:val="2"/>
        </w:rPr>
      </w:pPr>
    </w:p>
    <w:p w14:paraId="16CC2AE4" w14:textId="77777777" w:rsidR="00F9519D" w:rsidRDefault="00F9519D" w:rsidP="00F9519D">
      <w:pPr>
        <w:pStyle w:val="BodyText"/>
        <w:ind w:left="12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68EAE5E5" wp14:editId="16826FE4">
            <wp:extent cx="6865620" cy="4648200"/>
            <wp:effectExtent l="0" t="0" r="0" b="0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62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62327" w14:textId="77777777" w:rsidR="00F9519D" w:rsidRDefault="00F9519D" w:rsidP="00F9519D">
      <w:pPr>
        <w:pStyle w:val="BodyText"/>
        <w:spacing w:before="8"/>
        <w:rPr>
          <w:sz w:val="11"/>
        </w:rPr>
      </w:pPr>
    </w:p>
    <w:p w14:paraId="67CF5D17" w14:textId="77777777" w:rsidR="00F9519D" w:rsidRDefault="00F9519D" w:rsidP="00F9519D">
      <w:pPr>
        <w:pStyle w:val="Heading1"/>
        <w:rPr>
          <w:sz w:val="32"/>
        </w:rPr>
      </w:pPr>
      <w:r>
        <w:rPr>
          <w:u w:val="thick"/>
        </w:rPr>
        <w:t>Summary</w:t>
      </w:r>
    </w:p>
    <w:p w14:paraId="193337F7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56" w:lineRule="auto"/>
        <w:ind w:left="839" w:right="885"/>
        <w:contextualSpacing w:val="0"/>
      </w:pPr>
      <w:r>
        <w:t>Erectile dysfunction is defined as “the failure to achieve a penile erection to allow for satisfactory sexual</w:t>
      </w:r>
      <w:r>
        <w:rPr>
          <w:spacing w:val="-47"/>
        </w:rPr>
        <w:t xml:space="preserve"> </w:t>
      </w:r>
      <w:r>
        <w:t>intercourse”</w:t>
      </w:r>
    </w:p>
    <w:p w14:paraId="5CF6B4D4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It</w:t>
      </w:r>
      <w:r>
        <w:rPr>
          <w:spacing w:val="-2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occur</w:t>
      </w:r>
      <w:r>
        <w:rPr>
          <w:spacing w:val="-2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various</w:t>
      </w:r>
      <w:r>
        <w:rPr>
          <w:spacing w:val="-4"/>
        </w:rPr>
        <w:t xml:space="preserve"> </w:t>
      </w:r>
      <w:r>
        <w:t>causes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psychogenic,</w:t>
      </w:r>
      <w:r>
        <w:rPr>
          <w:spacing w:val="-2"/>
        </w:rPr>
        <w:t xml:space="preserve"> </w:t>
      </w:r>
      <w:r>
        <w:t>vasculogenic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neurogenic</w:t>
      </w:r>
    </w:p>
    <w:p w14:paraId="7F840865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253"/>
        <w:contextualSpacing w:val="0"/>
      </w:pPr>
      <w:r>
        <w:t>Failure to initiate psychogenic or neurogenic impulse or failure to increase arterial blood pressure may result in</w:t>
      </w:r>
      <w:r>
        <w:rPr>
          <w:spacing w:val="-47"/>
        </w:rPr>
        <w:t xml:space="preserve"> </w:t>
      </w:r>
      <w:r>
        <w:t>ED</w:t>
      </w:r>
    </w:p>
    <w:p w14:paraId="074313AA" w14:textId="77777777" w:rsidR="00F9519D" w:rsidRDefault="00F9519D" w:rsidP="00F9519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1" w:after="0" w:line="240" w:lineRule="auto"/>
        <w:ind w:hanging="361"/>
        <w:contextualSpacing w:val="0"/>
      </w:pPr>
      <w:r>
        <w:t>ED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ultimately lead</w:t>
      </w:r>
      <w:r>
        <w:rPr>
          <w:spacing w:val="-3"/>
        </w:rPr>
        <w:t xml:space="preserve"> </w:t>
      </w:r>
      <w:r>
        <w:t>to impotence</w:t>
      </w:r>
    </w:p>
    <w:p w14:paraId="4C05487D" w14:textId="51FCA0EF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2591A" w14:textId="77777777" w:rsidR="000E550C" w:rsidRDefault="000E550C" w:rsidP="00814DA3">
      <w:pPr>
        <w:spacing w:after="0" w:line="240" w:lineRule="auto"/>
      </w:pPr>
      <w:r>
        <w:separator/>
      </w:r>
    </w:p>
  </w:endnote>
  <w:endnote w:type="continuationSeparator" w:id="0">
    <w:p w14:paraId="4328550C" w14:textId="77777777" w:rsidR="000E550C" w:rsidRDefault="000E550C" w:rsidP="00814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3897" w14:textId="77777777" w:rsidR="00814DA3" w:rsidRDefault="00814D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90DCA" w14:textId="4BFEAFD4" w:rsidR="00B201E9" w:rsidRDefault="00B201E9" w:rsidP="00B201E9">
    <w:pPr>
      <w:pStyle w:val="Footer"/>
    </w:pPr>
    <w:bookmarkStart w:id="0" w:name="_Hlk146912398"/>
    <w:r>
      <w:t xml:space="preserve">L. Ramanamma </w:t>
    </w:r>
  </w:p>
  <w:p w14:paraId="1BE2E21D" w14:textId="77777777" w:rsidR="00B201E9" w:rsidRDefault="00B201E9" w:rsidP="00B201E9">
    <w:pPr>
      <w:pStyle w:val="Footer"/>
    </w:pPr>
    <w:r>
      <w:t>Asst. Professor, Dept. of Pharmaceutics</w:t>
    </w:r>
  </w:p>
  <w:bookmarkEnd w:id="0"/>
  <w:p w14:paraId="561AD33F" w14:textId="10ECE72C" w:rsidR="00B201E9" w:rsidRDefault="00B201E9">
    <w:pPr>
      <w:pStyle w:val="Footer"/>
    </w:pPr>
  </w:p>
  <w:p w14:paraId="2E47563F" w14:textId="77777777" w:rsidR="00814DA3" w:rsidRDefault="00814D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B0B16" w14:textId="77777777" w:rsidR="00814DA3" w:rsidRDefault="00814D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92D09" w14:textId="77777777" w:rsidR="000E550C" w:rsidRDefault="000E550C" w:rsidP="00814DA3">
      <w:pPr>
        <w:spacing w:after="0" w:line="240" w:lineRule="auto"/>
      </w:pPr>
      <w:r>
        <w:separator/>
      </w:r>
    </w:p>
  </w:footnote>
  <w:footnote w:type="continuationSeparator" w:id="0">
    <w:p w14:paraId="57E48695" w14:textId="77777777" w:rsidR="000E550C" w:rsidRDefault="000E550C" w:rsidP="00814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FCEAE" w14:textId="77777777" w:rsidR="00814DA3" w:rsidRDefault="00814D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F2CF3" w14:textId="77777777" w:rsidR="00DC1FB1" w:rsidRDefault="00DC1FB1" w:rsidP="00DC1FB1">
    <w:pPr>
      <w:pStyle w:val="Header"/>
    </w:pPr>
    <w:r>
      <w:t>Raghu college of Pharmacy: Pathophysiology</w:t>
    </w:r>
  </w:p>
  <w:p w14:paraId="2E151CF7" w14:textId="5BADD1C2" w:rsidR="00814DA3" w:rsidRDefault="00814DA3">
    <w:pPr>
      <w:pStyle w:val="Header"/>
    </w:pPr>
  </w:p>
  <w:p w14:paraId="5009591F" w14:textId="77777777" w:rsidR="00814DA3" w:rsidRDefault="00814D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33118" w14:textId="77777777" w:rsidR="00814DA3" w:rsidRDefault="00814D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9D772A"/>
    <w:multiLevelType w:val="hybridMultilevel"/>
    <w:tmpl w:val="CF42C90A"/>
    <w:lvl w:ilvl="0" w:tplc="FA86814A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619C081A">
      <w:numFmt w:val="bullet"/>
      <w:lvlText w:val="•"/>
      <w:lvlJc w:val="left"/>
      <w:pPr>
        <w:ind w:left="960" w:hanging="360"/>
      </w:pPr>
      <w:rPr>
        <w:lang w:val="en-US" w:eastAsia="en-US" w:bidi="ar-SA"/>
      </w:rPr>
    </w:lvl>
    <w:lvl w:ilvl="2" w:tplc="0B26EE96">
      <w:numFmt w:val="bullet"/>
      <w:lvlText w:val="•"/>
      <w:lvlJc w:val="left"/>
      <w:pPr>
        <w:ind w:left="2077" w:hanging="360"/>
      </w:pPr>
      <w:rPr>
        <w:lang w:val="en-US" w:eastAsia="en-US" w:bidi="ar-SA"/>
      </w:rPr>
    </w:lvl>
    <w:lvl w:ilvl="3" w:tplc="9D3CA97C">
      <w:numFmt w:val="bullet"/>
      <w:lvlText w:val="•"/>
      <w:lvlJc w:val="left"/>
      <w:pPr>
        <w:ind w:left="3195" w:hanging="360"/>
      </w:pPr>
      <w:rPr>
        <w:lang w:val="en-US" w:eastAsia="en-US" w:bidi="ar-SA"/>
      </w:rPr>
    </w:lvl>
    <w:lvl w:ilvl="4" w:tplc="9FCE373A">
      <w:numFmt w:val="bullet"/>
      <w:lvlText w:val="•"/>
      <w:lvlJc w:val="left"/>
      <w:pPr>
        <w:ind w:left="4313" w:hanging="360"/>
      </w:pPr>
      <w:rPr>
        <w:lang w:val="en-US" w:eastAsia="en-US" w:bidi="ar-SA"/>
      </w:rPr>
    </w:lvl>
    <w:lvl w:ilvl="5" w:tplc="28B04920">
      <w:numFmt w:val="bullet"/>
      <w:lvlText w:val="•"/>
      <w:lvlJc w:val="left"/>
      <w:pPr>
        <w:ind w:left="5431" w:hanging="360"/>
      </w:pPr>
      <w:rPr>
        <w:lang w:val="en-US" w:eastAsia="en-US" w:bidi="ar-SA"/>
      </w:rPr>
    </w:lvl>
    <w:lvl w:ilvl="6" w:tplc="CE703F12">
      <w:numFmt w:val="bullet"/>
      <w:lvlText w:val="•"/>
      <w:lvlJc w:val="left"/>
      <w:pPr>
        <w:ind w:left="6548" w:hanging="360"/>
      </w:pPr>
      <w:rPr>
        <w:lang w:val="en-US" w:eastAsia="en-US" w:bidi="ar-SA"/>
      </w:rPr>
    </w:lvl>
    <w:lvl w:ilvl="7" w:tplc="269E07E2">
      <w:numFmt w:val="bullet"/>
      <w:lvlText w:val="•"/>
      <w:lvlJc w:val="left"/>
      <w:pPr>
        <w:ind w:left="7666" w:hanging="360"/>
      </w:pPr>
      <w:rPr>
        <w:lang w:val="en-US" w:eastAsia="en-US" w:bidi="ar-SA"/>
      </w:rPr>
    </w:lvl>
    <w:lvl w:ilvl="8" w:tplc="A546E944">
      <w:numFmt w:val="bullet"/>
      <w:lvlText w:val="•"/>
      <w:lvlJc w:val="left"/>
      <w:pPr>
        <w:ind w:left="8784" w:hanging="360"/>
      </w:pPr>
      <w:rPr>
        <w:lang w:val="en-US" w:eastAsia="en-US" w:bidi="ar-SA"/>
      </w:rPr>
    </w:lvl>
  </w:abstractNum>
  <w:num w:numId="1" w16cid:durableId="297223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19D"/>
    <w:rsid w:val="000E550C"/>
    <w:rsid w:val="0015280F"/>
    <w:rsid w:val="001F1F7A"/>
    <w:rsid w:val="00814DA3"/>
    <w:rsid w:val="00B201E9"/>
    <w:rsid w:val="00C552FC"/>
    <w:rsid w:val="00C72B44"/>
    <w:rsid w:val="00D11B68"/>
    <w:rsid w:val="00DC1FB1"/>
    <w:rsid w:val="00DC7727"/>
    <w:rsid w:val="00DD42EF"/>
    <w:rsid w:val="00F93F07"/>
    <w:rsid w:val="00F9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AAA58"/>
  <w15:chartTrackingRefBased/>
  <w15:docId w15:val="{6727B363-0461-4C54-9ED9-67A8909A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19D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F9519D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9519D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F9519D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F9519D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F9519D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9519D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9519D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14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DA3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14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DA3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10</cp:revision>
  <dcterms:created xsi:type="dcterms:W3CDTF">2023-11-08T09:39:00Z</dcterms:created>
  <dcterms:modified xsi:type="dcterms:W3CDTF">2023-11-08T10:08:00Z</dcterms:modified>
</cp:coreProperties>
</file>