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color w:val="00B050"/>
          <w:sz w:val="32"/>
          <w:szCs w:val="32"/>
        </w:rPr>
      </w:pPr>
      <w:r>
        <w:rPr>
          <w:b/>
          <w:bCs/>
          <w:color w:val="00B050"/>
          <w:sz w:val="32"/>
          <w:szCs w:val="32"/>
        </w:rPr>
        <w:t>Phenylketonuria:</w:t>
      </w:r>
    </w:p>
    <w:p>
      <w:pPr>
        <w:spacing w:line="360" w:lineRule="auto"/>
      </w:pPr>
      <w:r>
        <w:t>Phenylketonuria (PKU) is the most common metabolic disorder in amino acid metabolism. The incidence of PKU is 1 in 10,000 births. It is due to the deficiency of the hepatic enzyme, phenylalanine hydroxylase, caused by an autosomal recessive gene. In recent years, a variant of PKU due to a defect in dihydrobiopterin reductase (relatively less) has been reported. This enzyme deficiency impairs the synthesis of tetrahydrobiopterin required for the action of phenylalanine hydroxylase</w:t>
      </w:r>
    </w:p>
    <w:p>
      <w:pPr>
        <w:rPr>
          <w:b/>
          <w:bCs/>
          <w:sz w:val="28"/>
          <w:szCs w:val="28"/>
        </w:rPr>
      </w:pPr>
      <w:r>
        <w:rPr>
          <w:b/>
          <w:bCs/>
          <w:sz w:val="28"/>
          <w:szCs w:val="28"/>
        </w:rPr>
        <w:t>Diagnosis of PKU:</w:t>
      </w:r>
    </w:p>
    <w:p>
      <w:pPr>
        <w:spacing w:line="360" w:lineRule="auto"/>
      </w:pPr>
      <w:r>
        <w:t xml:space="preserve">PKU is mostly detected by screening the newborn babies for the increased plasma levels of phenylalanine (PKU, 20–65 mg/ dl; normal 1–2mg/dl). This is usually carried out by </w:t>
      </w:r>
      <w:r>
        <w:rPr>
          <w:b/>
          <w:bCs/>
        </w:rPr>
        <w:t>Guthrie test</w:t>
      </w:r>
      <w:r>
        <w:t>, which is a bacterial (Bacillus subtilis) bioassay for phenylalanine.</w:t>
      </w:r>
    </w:p>
    <w:p>
      <w:pPr>
        <w:spacing w:line="360" w:lineRule="auto"/>
      </w:pPr>
      <w:r>
        <w:rPr>
          <w:b/>
          <w:bCs/>
          <w:sz w:val="28"/>
          <w:szCs w:val="28"/>
        </w:rPr>
        <w:t>Treatment of PKU</w:t>
      </w:r>
      <w:r>
        <w:t xml:space="preserve">: </w:t>
      </w:r>
    </w:p>
    <w:p>
      <w:pPr>
        <w:spacing w:line="360" w:lineRule="auto"/>
      </w:pPr>
      <w:r>
        <w:t>By selecting foods with low phenylalanine content and/or feeding synthetic amino acid preparations, low in phenylalanine. treatment includes administration of 5-hydroxytryptophan and dopa to restore the synthesis of serotonin and catecholamines. PKU patients with tetrahydrobiopterin deficiency require tetrahydrobiopterin supplementation</w:t>
      </w:r>
    </w:p>
    <w:p>
      <w:pPr>
        <w:rPr>
          <w:b/>
          <w:bCs/>
          <w:color w:val="00B050"/>
          <w:sz w:val="32"/>
          <w:szCs w:val="32"/>
        </w:rPr>
      </w:pPr>
      <w:r>
        <w:rPr>
          <w:b/>
          <w:bCs/>
          <w:color w:val="00B050"/>
          <w:sz w:val="32"/>
          <w:szCs w:val="32"/>
        </w:rPr>
        <w:t>Tyrosinosis or tyrosinemia type I:</w:t>
      </w:r>
    </w:p>
    <w:p>
      <w:pPr>
        <w:spacing w:line="360" w:lineRule="auto"/>
      </w:pPr>
      <w:r>
        <w:t>This is due to the deficiency of the enzymes fumarylacetoacetate hydroxylase and/or maleylacetoacetate isomerase. Tyrosinosis is a rare but serious disorder. It causes liver failure, rickets, renal tubular dysfunction and polyneuropathy. Tyrosine, its metabolites and many other amino acids are excreted in urine.</w:t>
      </w:r>
    </w:p>
    <w:p>
      <w:pPr>
        <w:spacing w:line="360" w:lineRule="auto"/>
      </w:pPr>
      <w:r>
        <w:t>For the treatment, diets low in tyrosine, phenylalanine and methionine are recommended.</w:t>
      </w:r>
    </w:p>
    <w:p>
      <w:pPr>
        <w:spacing w:line="360" w:lineRule="auto"/>
        <w:rPr>
          <w:b/>
          <w:bCs/>
        </w:rPr>
      </w:pPr>
      <w:r>
        <w:rPr>
          <w:b/>
          <w:bCs/>
          <w:color w:val="00B050"/>
          <w:sz w:val="32"/>
          <w:szCs w:val="32"/>
        </w:rPr>
        <w:t>Tyrosinemia type II:</w:t>
      </w:r>
    </w:p>
    <w:p>
      <w:pPr>
        <w:spacing w:line="360" w:lineRule="auto"/>
      </w:pPr>
      <w:r>
        <w:t xml:space="preserve"> This disorder—also known as </w:t>
      </w:r>
      <w:r>
        <w:rPr>
          <w:b/>
          <w:bCs/>
        </w:rPr>
        <w:t>RichnerHanhart syndrome</w:t>
      </w:r>
      <w:r>
        <w:t xml:space="preserve">, is due to a defect in the enzyme </w:t>
      </w:r>
      <w:r>
        <w:rPr>
          <w:b/>
          <w:bCs/>
        </w:rPr>
        <w:t>tyrosine transaminase</w:t>
      </w:r>
      <w:r>
        <w:t>. The result is a blockade in the routine degradative pathway of tyrosine. Accumulation and excretion of tyrosine and its metabolites—namely p-hydroxypheny pyruvate, phydroxyphenyllactate, phydroxyphenylacetate, N-acetyltyrosine—and tyramine are observed. Tyrosinemia type II is characterized by skin (dermatitis) and eye lesions and, rarely, mental retardation. A disturbed self-coordination is seen in these patients.</w:t>
      </w:r>
    </w:p>
    <w:p>
      <w:pPr>
        <w:rPr>
          <w:b/>
          <w:bCs/>
          <w:color w:val="00B050"/>
          <w:sz w:val="32"/>
          <w:szCs w:val="32"/>
        </w:rPr>
      </w:pPr>
      <w:r>
        <w:rPr>
          <w:b/>
          <w:bCs/>
          <w:color w:val="00B050"/>
          <w:sz w:val="32"/>
          <w:szCs w:val="32"/>
        </w:rPr>
        <w:t>Alkaptonuria (Black urine disease):</w:t>
      </w:r>
    </w:p>
    <w:p>
      <w:pPr>
        <w:spacing w:line="360" w:lineRule="auto"/>
        <w:rPr>
          <w:b/>
          <w:bCs/>
          <w:color w:val="CC66FF"/>
          <w:sz w:val="32"/>
          <w:szCs w:val="32"/>
        </w:rPr>
      </w:pPr>
      <w:r>
        <w:t>Alkaptonuria has great historical importance. It was first described by Lusitanus in 1649 and characterized in 1859. Garrod conceived the idea of inborn errors of metabolism from his observation on alkaptonuria. The prevalance of this autosomal recessive disorder is 1 in 25,000.</w:t>
      </w:r>
    </w:p>
    <w:p>
      <w:pPr>
        <w:spacing w:line="360" w:lineRule="auto"/>
      </w:pPr>
      <w:r>
        <w:rPr>
          <w:b/>
          <w:bCs/>
          <w:sz w:val="28"/>
          <w:szCs w:val="28"/>
        </w:rPr>
        <w:t>Enzyme defect :</w:t>
      </w:r>
      <w:r>
        <w:t xml:space="preserve"> The defective enzyme in alkaptonuria is homogentisate oxidase in tyrosine metabolism .Homogentisate accumulates in tissues and blood, and is excreted into urine. Homogentisate, on standing, gets oxidized to the corresponding quinones, which polymerize to give black or brown colour. For this reason, the urine of alkaptonuric patients resembles coke in colour. </w:t>
      </w:r>
      <w:r>
        <w:rPr>
          <w:b/>
          <w:bCs/>
          <w:sz w:val="28"/>
          <w:szCs w:val="28"/>
        </w:rPr>
        <w:t>Biochemical manifestations :</w:t>
      </w:r>
      <w:r>
        <w:t xml:space="preserve"> Homogentisate gets oxidized by polyphenol oxidase to benzoquinone acetate which undergoes polymerization to produce a pigment called alkapton. Alkapton deposition occurs in connective tissue, bones and various organs (nose, ear etc.) resulting in a condition known as ochronosis. Many alkaptonuric patients suffer from arthritis and this is believed to be due to the deposition of pigment alkapton (in the joints), produced from homogentisate.</w:t>
      </w:r>
    </w:p>
    <w:p>
      <w:pPr>
        <w:rPr>
          <w:b/>
          <w:bCs/>
        </w:rPr>
      </w:pPr>
      <w:r>
        <w:drawing>
          <wp:inline distT="0" distB="0" distL="0" distR="0">
            <wp:extent cx="2156460" cy="1768475"/>
            <wp:effectExtent l="0" t="0" r="0" b="3175"/>
            <wp:docPr id="1075994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94808" name="Picture 1"/>
                    <pic:cNvPicPr>
                      <a:picLocks noChangeAspect="1"/>
                    </pic:cNvPicPr>
                  </pic:nvPicPr>
                  <pic:blipFill>
                    <a:blip r:embed="rId7"/>
                    <a:stretch>
                      <a:fillRect/>
                    </a:stretch>
                  </pic:blipFill>
                  <pic:spPr>
                    <a:xfrm>
                      <a:off x="0" y="0"/>
                      <a:ext cx="2166942" cy="1777627"/>
                    </a:xfrm>
                    <a:prstGeom prst="rect">
                      <a:avLst/>
                    </a:prstGeom>
                  </pic:spPr>
                </pic:pic>
              </a:graphicData>
            </a:graphic>
          </wp:inline>
        </w:drawing>
      </w:r>
      <w:r>
        <w:rPr>
          <w:b/>
          <w:bCs/>
        </w:rPr>
        <w:t>Conversion of homogentisate to alkapton</w:t>
      </w:r>
    </w:p>
    <w:p/>
    <w:p>
      <w:pPr>
        <w:spacing w:line="360" w:lineRule="auto"/>
      </w:pPr>
      <w:r>
        <w:rPr>
          <w:b/>
          <w:bCs/>
          <w:sz w:val="28"/>
          <w:szCs w:val="28"/>
        </w:rPr>
        <w:t xml:space="preserve">Diagnosis : </w:t>
      </w:r>
      <w:r>
        <w:t>Change in colour of the urine on standing to brown or dark has been the simple traditional method to identify alkaptonuria.</w:t>
      </w:r>
    </w:p>
    <w:p>
      <w:pPr>
        <w:spacing w:line="360" w:lineRule="auto"/>
      </w:pPr>
      <w:r>
        <w:rPr>
          <w:b/>
          <w:bCs/>
          <w:sz w:val="28"/>
          <w:szCs w:val="28"/>
        </w:rPr>
        <w:t>Treatment :</w:t>
      </w:r>
      <w:r>
        <w:t xml:space="preserve"> Alkaptonuria is not a dangerous disorder and, therefore, does not require any specific treatment. However, consumption of protein diet with relatively low phenylalanine content is recommended.</w:t>
      </w:r>
    </w:p>
    <w:p>
      <w:pPr>
        <w:rPr>
          <w:color w:val="2E75B6" w:themeColor="accent5" w:themeShade="BF"/>
          <w:sz w:val="32"/>
          <w:szCs w:val="32"/>
        </w:rPr>
      </w:pPr>
      <w:bookmarkStart w:id="0" w:name="_GoBack"/>
      <w:bookmarkEnd w:id="0"/>
      <w:r>
        <w:rPr>
          <w:color w:val="2E75B6" w:themeColor="accent5" w:themeShade="BF"/>
          <w:sz w:val="32"/>
          <w:szCs w:val="32"/>
        </w:rPr>
        <w:t>Albinism:</w:t>
      </w:r>
    </w:p>
    <w:p>
      <w:pPr>
        <w:spacing w:line="360" w:lineRule="auto"/>
      </w:pPr>
      <w:r>
        <w:t>Albinism (Greek: albino—white) is an inborn error, due to the lack of synthesis of the pigment melanin. It is an autosomal recessive disorder with a frequency of 1 in 20,000</w:t>
      </w:r>
    </w:p>
    <w:p>
      <w:pPr>
        <w:pStyle w:val="6"/>
        <w:numPr>
          <w:ilvl w:val="0"/>
          <w:numId w:val="1"/>
        </w:numPr>
        <w:spacing w:line="360" w:lineRule="auto"/>
      </w:pPr>
      <w:r>
        <w:t>Deficiency or lack of the enzyme tyrosinase.</w:t>
      </w:r>
    </w:p>
    <w:p>
      <w:pPr>
        <w:pStyle w:val="6"/>
        <w:numPr>
          <w:ilvl w:val="0"/>
          <w:numId w:val="1"/>
        </w:numPr>
        <w:spacing w:line="360" w:lineRule="auto"/>
      </w:pPr>
      <w:r>
        <w:t xml:space="preserve"> Decrease in melanosomes of melanocytes. </w:t>
      </w:r>
    </w:p>
    <w:p>
      <w:pPr>
        <w:pStyle w:val="6"/>
        <w:numPr>
          <w:ilvl w:val="0"/>
          <w:numId w:val="1"/>
        </w:numPr>
        <w:spacing w:line="360" w:lineRule="auto"/>
      </w:pPr>
      <w:r>
        <w:t xml:space="preserve"> Impairment in melanin polymerization. </w:t>
      </w:r>
    </w:p>
    <w:p>
      <w:pPr>
        <w:pStyle w:val="6"/>
        <w:numPr>
          <w:ilvl w:val="0"/>
          <w:numId w:val="1"/>
        </w:numPr>
        <w:spacing w:line="360" w:lineRule="auto"/>
      </w:pPr>
      <w:r>
        <w:t xml:space="preserve"> Lack of protein matrix in melanosomes. </w:t>
      </w:r>
    </w:p>
    <w:p>
      <w:pPr>
        <w:pStyle w:val="6"/>
        <w:numPr>
          <w:ilvl w:val="0"/>
          <w:numId w:val="1"/>
        </w:numPr>
        <w:spacing w:line="360" w:lineRule="auto"/>
      </w:pPr>
      <w:r>
        <w:t xml:space="preserve"> Limitation of substrate (tyrosine) availability.</w:t>
      </w:r>
    </w:p>
    <w:p>
      <w:pPr>
        <w:pStyle w:val="6"/>
        <w:numPr>
          <w:ilvl w:val="0"/>
          <w:numId w:val="1"/>
        </w:numPr>
        <w:spacing w:line="360" w:lineRule="auto"/>
      </w:pPr>
      <w:r>
        <w:t xml:space="preserve"> Presence of inhibitors of tyrosinase.</w:t>
      </w:r>
    </w:p>
    <w:p>
      <w:pPr>
        <w:spacing w:line="360" w:lineRule="auto"/>
        <w:ind w:left="360"/>
      </w:pPr>
      <w:r>
        <w:t xml:space="preserve"> The most common cause of albinism is a defect in tyrosinase, the enzyme most responsible for the synthesis of melanin.</w:t>
      </w:r>
    </w:p>
    <w:p>
      <w:pPr>
        <w:pStyle w:val="6"/>
        <w:spacing w:line="360" w:lineRule="auto"/>
      </w:pPr>
      <w:r>
        <w:rPr>
          <w:b/>
          <w:bCs/>
          <w:sz w:val="28"/>
          <w:szCs w:val="28"/>
        </w:rPr>
        <w:t>Clinical manifestations :</w:t>
      </w:r>
      <w:r>
        <w:t xml:space="preserve"> </w:t>
      </w:r>
    </w:p>
    <w:p>
      <w:pPr>
        <w:pStyle w:val="6"/>
        <w:spacing w:line="360" w:lineRule="auto"/>
      </w:pPr>
      <w:r>
        <w:t>The most important function of melanin is the protection of the body from sun radiation. Lack of melanin in albinos makes them sensitive to sunlight. Increased susceptibility to skin cancer (carcinoma) is observed. Photophobia (intolerance to light) is associated with lack of pigment in the eyes. However, there is no impairment in the eyesight of albinos</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8"/>
        <w:szCs w:val="44"/>
      </w:rPr>
    </w:pPr>
    <w:r>
      <w:rPr>
        <w:b/>
        <w:color w:val="000080"/>
        <w:sz w:val="28"/>
        <w:szCs w:val="44"/>
      </w:rPr>
      <w:drawing>
        <wp:anchor distT="0" distB="0" distL="114300" distR="114300" simplePos="0" relativeHeight="251659264" behindDoc="0" locked="0" layoutInCell="1" allowOverlap="1">
          <wp:simplePos x="0" y="0"/>
          <wp:positionH relativeFrom="column">
            <wp:posOffset>200660</wp:posOffset>
          </wp:positionH>
          <wp:positionV relativeFrom="paragraph">
            <wp:posOffset>41275</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 xml:space="preserve"> RAGHU COLLEGE OF PHARMACY</w:t>
    </w:r>
  </w:p>
  <w:p>
    <w:pPr>
      <w:ind w:left="720" w:right="-540"/>
      <w:jc w:val="both"/>
      <w:rPr>
        <w:b/>
        <w:color w:val="FF0000"/>
        <w:sz w:val="18"/>
        <w:szCs w:val="18"/>
      </w:rPr>
    </w:pPr>
    <w:r>
      <w:rPr>
        <w:b/>
        <w:color w:val="FF0000"/>
        <w:sz w:val="10"/>
        <w:szCs w:val="18"/>
      </w:rPr>
      <w:t xml:space="preserve">     </w:t>
    </w:r>
    <w:r>
      <w:rPr>
        <w:rFonts w:hint="default"/>
        <w:b/>
        <w:color w:val="FF0000"/>
        <w:sz w:val="10"/>
        <w:szCs w:val="18"/>
        <w:lang w:val="en-IN"/>
      </w:rPr>
      <w:tab/>
    </w:r>
    <w:r>
      <w:rPr>
        <w:b/>
        <w:color w:val="FF0000"/>
        <w:sz w:val="18"/>
        <w:szCs w:val="18"/>
      </w:rPr>
      <w:t xml:space="preserve"> (Approved by A.I.C.T.E &amp; P.C.I New Delhi &amp; Affiliated to Andhra University)</w:t>
    </w:r>
  </w:p>
  <w:p>
    <w:pPr>
      <w:ind w:right="-540"/>
      <w:jc w:val="both"/>
      <w:rPr>
        <w:color w:val="000080"/>
        <w:sz w:val="18"/>
        <w:szCs w:val="18"/>
      </w:rPr>
    </w:pPr>
    <w:r>
      <w:rPr>
        <w:color w:val="000080"/>
        <w:sz w:val="18"/>
        <w:szCs w:val="18"/>
      </w:rPr>
      <w:t xml:space="preserve">       </w:t>
    </w:r>
    <w:r>
      <w:rPr>
        <w:rFonts w:hint="default"/>
        <w:color w:val="000080"/>
        <w:sz w:val="18"/>
        <w:szCs w:val="18"/>
        <w:lang w:val="en-IN"/>
      </w:rPr>
      <w:tab/>
      <w:t/>
    </w:r>
    <w:r>
      <w:rPr>
        <w:rFonts w:hint="default"/>
        <w:color w:val="000080"/>
        <w:sz w:val="18"/>
        <w:szCs w:val="18"/>
        <w:lang w:val="en-IN"/>
      </w:rPr>
      <w:tab/>
    </w:r>
    <w:r>
      <w:rPr>
        <w:color w:val="000080"/>
        <w:sz w:val="18"/>
        <w:szCs w:val="18"/>
      </w:rPr>
      <w:t>Dakamarri, Bheemunipatnam Mandalam, Visakhapatnam - 531 162.</w:t>
    </w:r>
  </w:p>
  <w:p>
    <w:pPr>
      <w:ind w:left="1440" w:right="-540" w:hanging="1440"/>
      <w:rPr>
        <w:sz w:val="18"/>
        <w:szCs w:val="18"/>
      </w:rPr>
    </w:pPr>
    <w:r>
      <w:rPr>
        <w:sz w:val="18"/>
        <w:szCs w:val="18"/>
      </w:rPr>
      <w:t xml:space="preserve">      </w:t>
    </w:r>
    <w:r>
      <w:rPr>
        <w:rFonts w:hint="default"/>
        <w:sz w:val="18"/>
        <w:szCs w:val="18"/>
        <w:lang w:val="en-IN"/>
      </w:rPr>
      <w:tab/>
    </w:r>
    <w:r>
      <w:rPr>
        <w:sz w:val="18"/>
        <w:szCs w:val="18"/>
      </w:rPr>
      <w:t xml:space="preserve"> Ph:+91-8922-248014,15 </w:t>
    </w:r>
    <w:r>
      <w:rPr>
        <w:rFonts w:hint="default"/>
        <w:sz w:val="18"/>
        <w:szCs w:val="18"/>
        <w:lang w:val="en-IN"/>
      </w:rPr>
      <w:t xml:space="preserve">    </w:t>
    </w:r>
    <w:r>
      <w:rPr>
        <w:sz w:val="18"/>
        <w:szCs w:val="18"/>
      </w:rPr>
      <w:t>Website:www.raghupharmacy.com</w:t>
    </w:r>
    <w:r>
      <w:rPr>
        <w:sz w:val="18"/>
        <w:szCs w:val="18"/>
      </w:rPr>
      <w:tab/>
    </w:r>
    <w:r>
      <w:rPr>
        <w:sz w:val="18"/>
        <w:szCs w:val="18"/>
      </w:rPr>
      <w:tab/>
    </w:r>
    <w:r>
      <w:rPr>
        <w:sz w:val="18"/>
        <w:szCs w:val="18"/>
      </w:rPr>
      <w:tab/>
    </w:r>
    <w:r>
      <w:rPr>
        <w:sz w:val="18"/>
        <w:szCs w:val="18"/>
      </w:rPr>
      <w:t xml:space="preserve">                              </w:t>
    </w:r>
    <w:r>
      <w:rPr>
        <w:rFonts w:hint="default"/>
        <w:sz w:val="18"/>
        <w:szCs w:val="18"/>
        <w:lang w:val="en-IN"/>
      </w:rPr>
      <w:tab/>
      <w:t/>
    </w:r>
    <w:r>
      <w:rPr>
        <w:rFonts w:hint="default"/>
        <w:sz w:val="18"/>
        <w:szCs w:val="18"/>
        <w:lang w:val="en-IN"/>
      </w:rPr>
      <w:tab/>
    </w:r>
    <w:r>
      <w:rPr>
        <w:sz w:val="18"/>
        <w:szCs w:val="18"/>
      </w:rPr>
      <w:t>Email:raghucollegeofpharmacy@rediffmail.com</w:t>
    </w:r>
  </w:p>
  <w:p>
    <w:pPr>
      <w:pStyle w:val="5"/>
    </w:pPr>
    <w:r>
      <w:rPr>
        <w:sz w:val="18"/>
      </w:rPr>
      <w:pict>
        <v:shape id="PowerPlusWaterMarkObject232930" o:spid="_x0000_s2049" o:spt="136" type="#_x0000_t136" style="position:absolute;left:0pt;height:54.35pt;width:508.7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path="t" trim="t" xscale="f" string="K.Balakrishna Asst.professor" style="font-family:Segoe UI;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935C34"/>
    <w:multiLevelType w:val="multilevel"/>
    <w:tmpl w:val="6E935C3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57"/>
    <w:rsid w:val="0007389A"/>
    <w:rsid w:val="002B7608"/>
    <w:rsid w:val="00AE2F57"/>
    <w:rsid w:val="00CA31B2"/>
    <w:rsid w:val="34757E16"/>
    <w:rsid w:val="435F562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689</Words>
  <Characters>3928</Characters>
  <Lines>32</Lines>
  <Paragraphs>9</Paragraphs>
  <TotalTime>1</TotalTime>
  <ScaleCrop>false</ScaleCrop>
  <LinksUpToDate>false</LinksUpToDate>
  <CharactersWithSpaces>4608</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2023-08-07T05:10:00Z</dcterms:created>
  <dc:creator>Bala Krishna</dc:creator>
  <cp:lastModifiedBy>kbalu</cp:lastModifiedBy>
  <dcterms:modified xsi:type="dcterms:W3CDTF">2023-09-29T07:03:51Z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D25929A1E5594544AF33CBA77964B000_13</vt:lpwstr>
  </property>
</Properties>
</file>