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Times New Roman" w:hAnsi="Times New Roman" w:cs="Times New Roman"/>
          <w:color w:val="7030A0"/>
          <w:sz w:val="28"/>
          <w:szCs w:val="28"/>
        </w:rPr>
      </w:pPr>
    </w:p>
    <w:p>
      <w:pPr>
        <w:rPr>
          <w:rFonts w:ascii="Times New Roman" w:hAnsi="Times New Roman" w:cs="Times New Roman"/>
          <w:color w:val="7030A0"/>
          <w:sz w:val="28"/>
          <w:szCs w:val="28"/>
        </w:rPr>
      </w:pPr>
    </w:p>
    <w:p>
      <w:pPr>
        <w:rPr>
          <w:rFonts w:hint="default" w:ascii="Times New Roman" w:hAnsi="Times New Roman" w:cs="Times New Roman"/>
          <w:color w:val="7030A0"/>
          <w:sz w:val="28"/>
          <w:szCs w:val="28"/>
          <w:lang w:val="en-IN"/>
        </w:rPr>
      </w:pPr>
      <w:r>
        <w:rPr>
          <w:rFonts w:ascii="Times New Roman" w:hAnsi="Times New Roman" w:cs="Times New Roman"/>
          <w:color w:val="7030A0"/>
          <w:sz w:val="28"/>
          <w:szCs w:val="28"/>
        </w:rPr>
        <w:t xml:space="preserve">FATTY ACID OXIDATION </w:t>
      </w:r>
      <w:r>
        <w:rPr>
          <w:rFonts w:hint="default" w:ascii="Times New Roman" w:hAnsi="Times New Roman" w:cs="Times New Roman"/>
          <w:color w:val="7030A0"/>
          <w:sz w:val="28"/>
          <w:szCs w:val="28"/>
          <w:lang w:val="en-IN"/>
        </w:rPr>
        <w:t>:</w:t>
      </w:r>
      <w:bookmarkStart w:id="0" w:name="_GoBack"/>
      <w:bookmarkEnd w:id="0"/>
    </w:p>
    <w:p>
      <w:pPr>
        <w:rPr>
          <w:rFonts w:ascii="Times New Roman" w:hAnsi="Times New Roman" w:cs="Times New Roman"/>
        </w:rPr>
      </w:pPr>
      <w:r>
        <w:rPr>
          <w:rFonts w:ascii="Times New Roman" w:hAnsi="Times New Roman" w:cs="Times New Roman"/>
        </w:rPr>
        <w:t>The fatty acids in the body are mostly oxidized by E-oxidation. E-Oxidation may be defined as the oxidation of fatty acids on the E-carbon atom. This results in the sequential removal of a two carbon fragment, acetyl CoA. Fatty acid oxidation —stages and tissues The Beta-oxidation of fatty acids involves three stages</w:t>
      </w:r>
    </w:p>
    <w:p>
      <w:pPr>
        <w:pStyle w:val="6"/>
        <w:numPr>
          <w:ilvl w:val="0"/>
          <w:numId w:val="1"/>
        </w:numPr>
        <w:rPr>
          <w:rFonts w:ascii="Times New Roman" w:hAnsi="Times New Roman" w:cs="Times New Roman"/>
        </w:rPr>
      </w:pPr>
      <w:r>
        <w:rPr>
          <w:rFonts w:ascii="Times New Roman" w:hAnsi="Times New Roman" w:cs="Times New Roman"/>
        </w:rPr>
        <w:t>Activation of fatty acids occurring in the cytosol</w:t>
      </w:r>
    </w:p>
    <w:p>
      <w:pPr>
        <w:pStyle w:val="6"/>
        <w:numPr>
          <w:ilvl w:val="0"/>
          <w:numId w:val="1"/>
        </w:numPr>
        <w:rPr>
          <w:rFonts w:ascii="Times New Roman" w:hAnsi="Times New Roman" w:cs="Times New Roman"/>
        </w:rPr>
      </w:pPr>
      <w:r>
        <w:rPr>
          <w:rFonts w:ascii="Times New Roman" w:hAnsi="Times New Roman" w:cs="Times New Roman"/>
        </w:rPr>
        <w:t>Transport of fatty acids into mitochondria</w:t>
      </w:r>
    </w:p>
    <w:p>
      <w:pPr>
        <w:pStyle w:val="6"/>
        <w:numPr>
          <w:ilvl w:val="0"/>
          <w:numId w:val="1"/>
        </w:numPr>
        <w:rPr>
          <w:rFonts w:ascii="Times New Roman" w:hAnsi="Times New Roman" w:cs="Times New Roman"/>
        </w:rPr>
      </w:pPr>
      <w:r>
        <w:rPr>
          <w:rFonts w:ascii="Times New Roman" w:hAnsi="Times New Roman" w:cs="Times New Roman"/>
        </w:rPr>
        <w:t xml:space="preserve"> E-Oxidation proper in the mitochondrial matrix.</w:t>
      </w:r>
    </w:p>
    <w:p>
      <w:pPr>
        <w:rPr>
          <w:rFonts w:ascii="Times New Roman" w:hAnsi="Times New Roman" w:cs="Times New Roman"/>
        </w:rPr>
      </w:pPr>
      <w:r>
        <w:rPr>
          <w:rFonts w:ascii="Times New Roman" w:hAnsi="Times New Roman" w:cs="Times New Roman"/>
        </w:rPr>
        <w:t>Fatty acids are oxidized by most of the tissues in the body. However, brain, erythrocytes and adrenal medulla cannot utilize fatty acids for energy requirement.</w:t>
      </w:r>
    </w:p>
    <w:p>
      <w:pPr>
        <w:rPr>
          <w:rFonts w:ascii="Times New Roman" w:hAnsi="Times New Roman" w:cs="Times New Roman"/>
          <w:b/>
          <w:bCs/>
          <w:sz w:val="28"/>
          <w:szCs w:val="28"/>
          <w:u w:val="single"/>
        </w:rPr>
      </w:pPr>
      <w:r>
        <w:rPr>
          <w:rFonts w:ascii="Times New Roman" w:hAnsi="Times New Roman" w:cs="Times New Roman"/>
          <w:b/>
          <w:bCs/>
          <w:sz w:val="28"/>
          <w:szCs w:val="28"/>
          <w:u w:val="single"/>
        </w:rPr>
        <w:t>1.Fatty acid activation:</w:t>
      </w:r>
    </w:p>
    <w:p>
      <w:pPr>
        <w:rPr>
          <w:rFonts w:ascii="Times New Roman" w:hAnsi="Times New Roman" w:cs="Times New Roman"/>
        </w:rPr>
      </w:pPr>
      <w:r>
        <w:rPr>
          <w:rFonts w:ascii="Times New Roman" w:hAnsi="Times New Roman" w:cs="Times New Roman"/>
        </w:rPr>
        <w:t xml:space="preserve"> Fatty acids are activated to acyl CoA by thiokinases or acyl CoA synthetases. The reaction occurs in two steps and requires ATP, coenzyme A and Mg2+. Fatty acid reacts with ATP to form acyladenylate which then combines with coenzyme A to produce acyl CoA . In the activation, two high energy phosphates are utilized, since ATP is converted to pyrophosphate (PPi). The enzyme inorganic pyrophosphatase hydrolyses PPi to phosphate (Pi). The immediate elimination of PPi makes this reaction totally irreversible. Three different thiokinases, to activate long chain (10-20 carbon), medium chain (4-12 carbon) and short chain (&lt; 4 carbon) fatty acids have been identified.</w:t>
      </w:r>
    </w:p>
    <w:p>
      <w:pPr>
        <w:rPr>
          <w:rFonts w:ascii="Times New Roman" w:hAnsi="Times New Roman" w:cs="Times New Roman"/>
          <w:b/>
          <w:bCs/>
          <w:sz w:val="28"/>
          <w:szCs w:val="28"/>
          <w:u w:val="single"/>
        </w:rPr>
      </w:pPr>
      <w:r>
        <w:rPr>
          <w:rFonts w:ascii="Times New Roman" w:hAnsi="Times New Roman" w:cs="Times New Roman"/>
          <w:b/>
          <w:bCs/>
          <w:sz w:val="28"/>
          <w:szCs w:val="28"/>
          <w:u w:val="single"/>
        </w:rPr>
        <w:t>2. Transport of acyl CoA into mitochondria:</w:t>
      </w:r>
    </w:p>
    <w:p>
      <w:pPr>
        <w:rPr>
          <w:rFonts w:ascii="Times New Roman" w:hAnsi="Times New Roman" w:cs="Times New Roman"/>
        </w:rPr>
      </w:pPr>
      <w:r>
        <w:rPr>
          <w:rFonts w:ascii="Times New Roman" w:hAnsi="Times New Roman" w:cs="Times New Roman"/>
        </w:rPr>
        <w:t xml:space="preserve"> The inner mitochondrial membrane is impermeable to fatty acids. A specialized carnitine carrier system (carnitine shuttle) operates to transport activated fatty acids from cytosol to the mitochondria. This occurs in four steps </w:t>
      </w:r>
    </w:p>
    <w:p>
      <w:pPr>
        <w:rPr>
          <w:rFonts w:ascii="Times New Roman" w:hAnsi="Times New Roman" w:cs="Times New Roman"/>
        </w:rPr>
      </w:pPr>
      <w:r>
        <w:rPr>
          <w:rFonts w:ascii="Times New Roman" w:hAnsi="Times New Roman" w:cs="Times New Roman"/>
        </w:rPr>
        <w:t xml:space="preserve">1. Acyl group of acyl CoA is transferred to carnitine (E-hydroxy J-trimethyl aminobutyrate), catalysed by carnitine acyltransferase I (present on the outer surface of inner mitochondrial membrane). </w:t>
      </w:r>
    </w:p>
    <w:p>
      <w:pPr>
        <w:rPr>
          <w:rFonts w:ascii="Times New Roman" w:hAnsi="Times New Roman" w:cs="Times New Roman"/>
        </w:rPr>
      </w:pPr>
      <w:r>
        <w:rPr>
          <w:rFonts w:ascii="Times New Roman" w:hAnsi="Times New Roman" w:cs="Times New Roman"/>
        </w:rPr>
        <w:t>2. The acyl-carnitine is transported across the membrane to mitochondrial matrix by a specific carrier protein.</w:t>
      </w:r>
    </w:p>
    <w:p>
      <w:pPr>
        <w:rPr>
          <w:rFonts w:ascii="Times New Roman" w:hAnsi="Times New Roman" w:cs="Times New Roman"/>
        </w:rPr>
      </w:pPr>
      <w:r>
        <w:rPr>
          <w:rFonts w:ascii="Times New Roman" w:hAnsi="Times New Roman" w:cs="Times New Roman"/>
        </w:rPr>
        <w:t xml:space="preserve"> 3. Carnitine acyl transferase II (found on the inner surface of inner mitochondrial membrane) converts acyl-carnitine to acyl CoA.</w:t>
      </w:r>
    </w:p>
    <w:p>
      <w:pPr>
        <w:rPr>
          <w:rFonts w:ascii="Times New Roman" w:hAnsi="Times New Roman" w:cs="Times New Roman"/>
        </w:rPr>
      </w:pPr>
      <w:r>
        <w:rPr>
          <w:rFonts w:ascii="Times New Roman" w:hAnsi="Times New Roman" w:cs="Times New Roman"/>
        </w:rPr>
        <w:t xml:space="preserve"> 4. The carnitine released returns to cytosol for reuse.</w:t>
      </w:r>
    </w:p>
    <w:p>
      <w:pPr>
        <w:rPr>
          <w:rFonts w:ascii="Times New Roman" w:hAnsi="Times New Roman" w:cs="Times New Roman"/>
        </w:rPr>
      </w:pPr>
      <w:r>
        <w:rPr>
          <w:rFonts w:ascii="Times New Roman" w:hAnsi="Times New Roman" w:cs="Times New Roman"/>
          <w:b/>
          <w:bCs/>
          <w:sz w:val="28"/>
          <w:szCs w:val="28"/>
          <w:u w:val="single"/>
        </w:rPr>
        <w:t>3. Beta-Oxidation proper</w:t>
      </w:r>
      <w:r>
        <w:rPr>
          <w:rFonts w:ascii="Times New Roman" w:hAnsi="Times New Roman" w:cs="Times New Roman"/>
        </w:rPr>
        <w:t xml:space="preserve">: </w:t>
      </w:r>
    </w:p>
    <w:p>
      <w:pPr>
        <w:rPr>
          <w:rFonts w:ascii="Times New Roman" w:hAnsi="Times New Roman" w:cs="Times New Roman"/>
        </w:rPr>
      </w:pPr>
      <w:r>
        <w:rPr>
          <w:rFonts w:ascii="Times New Roman" w:hAnsi="Times New Roman" w:cs="Times New Roman"/>
        </w:rPr>
        <w:t>Each cycle of E-oxidation, liberating a two carbon unit-acetyl CoA, occurs in a sequence of four reactions .</w:t>
      </w:r>
    </w:p>
    <w:p>
      <w:pPr>
        <w:rPr>
          <w:rFonts w:ascii="Times New Roman" w:hAnsi="Times New Roman" w:cs="Times New Roman"/>
          <w:b/>
          <w:bCs/>
          <w:sz w:val="24"/>
          <w:szCs w:val="24"/>
        </w:rPr>
      </w:pPr>
      <w:r>
        <w:rPr>
          <w:rFonts w:ascii="Times New Roman" w:hAnsi="Times New Roman" w:cs="Times New Roman"/>
        </w:rPr>
        <w:t xml:space="preserve"> </w:t>
      </w:r>
      <w:r>
        <w:rPr>
          <w:rFonts w:ascii="Times New Roman" w:hAnsi="Times New Roman" w:cs="Times New Roman"/>
          <w:b/>
          <w:bCs/>
          <w:sz w:val="24"/>
          <w:szCs w:val="24"/>
        </w:rPr>
        <w:t xml:space="preserve">1. Oxidation : </w:t>
      </w:r>
    </w:p>
    <w:p>
      <w:pPr>
        <w:rPr>
          <w:rFonts w:ascii="Times New Roman" w:hAnsi="Times New Roman" w:cs="Times New Roman"/>
        </w:rPr>
      </w:pPr>
      <w:r>
        <w:rPr>
          <w:rFonts w:ascii="Times New Roman" w:hAnsi="Times New Roman" w:cs="Times New Roman"/>
        </w:rPr>
        <w:t>Acyl CoA undergoes dehydrogenation by an FAD-dependent flavoenzyme, acyl CoA dehydrogenase. A double bond is formed between D and E carbons (i.e., 2 and 3 carbons).</w:t>
      </w:r>
    </w:p>
    <w:p>
      <w:pPr>
        <w:rPr>
          <w:rFonts w:ascii="Times New Roman" w:hAnsi="Times New Roman" w:cs="Times New Roman"/>
          <w:b/>
          <w:bCs/>
          <w:sz w:val="24"/>
          <w:szCs w:val="24"/>
        </w:rPr>
      </w:pPr>
      <w:r>
        <w:rPr>
          <w:rFonts w:ascii="Times New Roman" w:hAnsi="Times New Roman" w:cs="Times New Roman"/>
          <w:b/>
          <w:bCs/>
          <w:sz w:val="24"/>
          <w:szCs w:val="24"/>
        </w:rPr>
        <w:t xml:space="preserve"> 2. Hydration :</w:t>
      </w:r>
    </w:p>
    <w:p>
      <w:pPr>
        <w:rPr>
          <w:rFonts w:ascii="Times New Roman" w:hAnsi="Times New Roman" w:cs="Times New Roman"/>
        </w:rPr>
      </w:pPr>
      <w:r>
        <w:rPr>
          <w:rFonts w:ascii="Times New Roman" w:hAnsi="Times New Roman" w:cs="Times New Roman"/>
        </w:rPr>
        <w:t xml:space="preserve"> Enoyl CoA hydratase brings about the hydration of the double bond to form Beta-hydroxyacyl CoA.</w:t>
      </w:r>
    </w:p>
    <w:p>
      <w:pPr>
        <w:rPr>
          <w:rFonts w:ascii="Times New Roman" w:hAnsi="Times New Roman" w:cs="Times New Roman"/>
          <w:b/>
          <w:bCs/>
          <w:sz w:val="24"/>
          <w:szCs w:val="24"/>
        </w:rPr>
      </w:pPr>
      <w:r>
        <w:rPr>
          <w:rFonts w:ascii="Times New Roman" w:hAnsi="Times New Roman" w:cs="Times New Roman"/>
          <w:b/>
          <w:bCs/>
          <w:sz w:val="24"/>
          <w:szCs w:val="24"/>
        </w:rPr>
        <w:t xml:space="preserve"> 3. Oxidation :</w:t>
      </w:r>
    </w:p>
    <w:p>
      <w:pPr>
        <w:rPr>
          <w:rFonts w:ascii="Times New Roman" w:hAnsi="Times New Roman" w:cs="Times New Roman"/>
        </w:rPr>
      </w:pPr>
      <w:r>
        <w:rPr>
          <w:rFonts w:ascii="Times New Roman" w:hAnsi="Times New Roman" w:cs="Times New Roman"/>
        </w:rPr>
        <w:t>Beta-Hydroxyacyl CoA dehydrogenase catalyses the second oxidation and generates NADH. The product formed is E-ketoacyl CoA.</w:t>
      </w:r>
    </w:p>
    <w:p>
      <w:pPr>
        <w:rPr>
          <w:rFonts w:ascii="Times New Roman" w:hAnsi="Times New Roman" w:cs="Times New Roman"/>
          <w:b/>
          <w:bCs/>
          <w:sz w:val="24"/>
          <w:szCs w:val="24"/>
        </w:rPr>
      </w:pPr>
      <w:r>
        <w:rPr>
          <w:rFonts w:ascii="Times New Roman" w:hAnsi="Times New Roman" w:cs="Times New Roman"/>
          <w:b/>
          <w:bCs/>
          <w:sz w:val="24"/>
          <w:szCs w:val="24"/>
        </w:rPr>
        <w:t xml:space="preserve"> 4. Cleavage :</w:t>
      </w:r>
    </w:p>
    <w:p>
      <w:pPr>
        <w:rPr>
          <w:rFonts w:ascii="Times New Roman" w:hAnsi="Times New Roman" w:cs="Times New Roman"/>
        </w:rPr>
      </w:pPr>
      <w:r>
        <w:rPr>
          <w:rFonts w:ascii="Times New Roman" w:hAnsi="Times New Roman" w:cs="Times New Roman"/>
        </w:rPr>
        <w:t xml:space="preserve"> The final reaction in E-oxidation is the liberation of a 2 carbon fragment, acetyl CoA from acyl CoA. This occurs by a thiolytic cleavage catalysed by Beta-ketoacyl CoA thiolase (or simply thiolase). The new acyl CoA, containing two carbons less than the original, reenters the E-oxidation cycle. The process continues till the fatty acid is completely oxidized.</w:t>
      </w:r>
    </w:p>
    <w:p>
      <w:pPr>
        <w:rPr>
          <w:rFonts w:ascii="Times New Roman" w:hAnsi="Times New Roman" w:cs="Times New Roman"/>
        </w:rPr>
      </w:pPr>
      <w:r>
        <w:rPr>
          <w:rFonts w:ascii="Times New Roman" w:hAnsi="Times New Roman" w:cs="Times New Roman"/>
        </w:rPr>
        <w:drawing>
          <wp:inline distT="0" distB="0" distL="0" distR="0">
            <wp:extent cx="2651760" cy="6324600"/>
            <wp:effectExtent l="0" t="0" r="0" b="0"/>
            <wp:docPr id="3749688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968834" name="Picture 1"/>
                    <pic:cNvPicPr>
                      <a:picLocks noChangeAspect="1"/>
                    </pic:cNvPicPr>
                  </pic:nvPicPr>
                  <pic:blipFill>
                    <a:blip r:embed="rId7"/>
                    <a:stretch>
                      <a:fillRect/>
                    </a:stretch>
                  </pic:blipFill>
                  <pic:spPr>
                    <a:xfrm>
                      <a:off x="0" y="0"/>
                      <a:ext cx="2651990" cy="6325148"/>
                    </a:xfrm>
                    <a:prstGeom prst="rect">
                      <a:avLst/>
                    </a:prstGeom>
                  </pic:spPr>
                </pic:pic>
              </a:graphicData>
            </a:graphic>
          </wp:inline>
        </w:drawing>
      </w:r>
    </w:p>
    <w:p>
      <w:pPr>
        <w:rPr>
          <w:rFonts w:ascii="Times New Roman" w:hAnsi="Times New Roman" w:cs="Times New Roman"/>
        </w:rPr>
      </w:pPr>
    </w:p>
    <w:p>
      <w:pPr>
        <w:rPr>
          <w:rFonts w:ascii="Times New Roman" w:hAnsi="Times New Roman" w:cs="Times New Roman"/>
        </w:rPr>
      </w:pPr>
      <w:r>
        <w:rPr>
          <w:rFonts w:ascii="Times New Roman" w:hAnsi="Times New Roman" w:cs="Times New Roman"/>
        </w:rPr>
        <w:drawing>
          <wp:inline distT="0" distB="0" distL="0" distR="0">
            <wp:extent cx="3642360" cy="3185160"/>
            <wp:effectExtent l="0" t="0" r="0" b="0"/>
            <wp:docPr id="19043638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4363877" name="Picture 1"/>
                    <pic:cNvPicPr>
                      <a:picLocks noChangeAspect="1"/>
                    </pic:cNvPicPr>
                  </pic:nvPicPr>
                  <pic:blipFill>
                    <a:blip r:embed="rId8"/>
                    <a:stretch>
                      <a:fillRect/>
                    </a:stretch>
                  </pic:blipFill>
                  <pic:spPr>
                    <a:xfrm>
                      <a:off x="0" y="0"/>
                      <a:ext cx="3642676" cy="3185436"/>
                    </a:xfrm>
                    <a:prstGeom prst="rect">
                      <a:avLst/>
                    </a:prstGeom>
                  </pic:spPr>
                </pic:pic>
              </a:graphicData>
            </a:graphic>
          </wp:inline>
        </w:drawing>
      </w:r>
    </w:p>
    <w:p>
      <w:pPr>
        <w:rPr>
          <w:rFonts w:ascii="Times New Roman" w:hAnsi="Times New Roman" w:cs="Times New Roman"/>
        </w:rPr>
      </w:pPr>
    </w:p>
    <w:p>
      <w:pPr>
        <w:rPr>
          <w:rFonts w:ascii="Times New Roman" w:hAnsi="Times New Roman" w:cs="Times New Roman"/>
        </w:rPr>
      </w:pPr>
    </w:p>
    <w:p>
      <w:pPr>
        <w:rPr>
          <w:rFonts w:ascii="Times New Roman" w:hAnsi="Times New Roman" w:cs="Times New Roman"/>
        </w:rPr>
      </w:pPr>
    </w:p>
    <w:sectPr>
      <w:headerReference r:id="rId5" w:type="default"/>
      <w:pgSz w:w="11906" w:h="16838"/>
      <w:pgMar w:top="1440" w:right="1440" w:bottom="1440" w:left="144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2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both"/>
      <w:rPr>
        <w:b/>
        <w:color w:val="000080"/>
        <w:sz w:val="20"/>
        <w:szCs w:val="20"/>
      </w:rPr>
    </w:pPr>
    <w:r>
      <w:rPr>
        <w:b/>
        <w:color w:val="000080"/>
        <w:sz w:val="20"/>
        <w:szCs w:val="20"/>
      </w:rPr>
      <w:drawing>
        <wp:anchor distT="0" distB="0" distL="114300" distR="114300" simplePos="0" relativeHeight="251659264" behindDoc="0" locked="0" layoutInCell="1" allowOverlap="1">
          <wp:simplePos x="0" y="0"/>
          <wp:positionH relativeFrom="column">
            <wp:posOffset>-626110</wp:posOffset>
          </wp:positionH>
          <wp:positionV relativeFrom="paragraph">
            <wp:posOffset>74930</wp:posOffset>
          </wp:positionV>
          <wp:extent cx="575945" cy="574040"/>
          <wp:effectExtent l="0" t="0" r="3175" b="5080"/>
          <wp:wrapThrough wrapText="bothSides">
            <wp:wrapPolygon>
              <wp:start x="0" y="0"/>
              <wp:lineTo x="0" y="21218"/>
              <wp:lineTo x="21148" y="21218"/>
              <wp:lineTo x="21148" y="0"/>
              <wp:lineTo x="0" y="0"/>
            </wp:wrapPolygon>
          </wp:wrapThrough>
          <wp:docPr id="11" name="Picture 1" descr="C:\Users\staff\Desktop\RCP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 descr="C:\Users\staff\Desktop\RCP LOGO.jpg"/>
                  <pic:cNvPicPr>
                    <a:picLocks noChangeAspect="1" noChangeArrowheads="1"/>
                  </pic:cNvPicPr>
                </pic:nvPicPr>
                <pic:blipFill>
                  <a:blip r:embed="rId1"/>
                  <a:srcRect/>
                  <a:stretch>
                    <a:fillRect/>
                  </a:stretch>
                </pic:blipFill>
                <pic:spPr>
                  <a:xfrm>
                    <a:off x="0" y="0"/>
                    <a:ext cx="575945" cy="574040"/>
                  </a:xfrm>
                  <a:prstGeom prst="rect">
                    <a:avLst/>
                  </a:prstGeom>
                  <a:noFill/>
                  <a:ln w="9525">
                    <a:noFill/>
                    <a:miter lim="800000"/>
                    <a:headEnd/>
                    <a:tailEnd/>
                  </a:ln>
                </pic:spPr>
              </pic:pic>
            </a:graphicData>
          </a:graphic>
        </wp:anchor>
      </w:drawing>
    </w:r>
    <w:r>
      <w:rPr>
        <w:b/>
        <w:color w:val="000080"/>
        <w:sz w:val="20"/>
        <w:szCs w:val="20"/>
      </w:rPr>
      <w:t xml:space="preserve"> </w:t>
    </w:r>
    <w:r>
      <w:rPr>
        <w:rFonts w:hint="default"/>
        <w:b/>
        <w:color w:val="000080"/>
        <w:sz w:val="20"/>
        <w:szCs w:val="20"/>
        <w:lang w:val="en-IN"/>
      </w:rPr>
      <w:tab/>
      <w:t/>
    </w:r>
    <w:r>
      <w:rPr>
        <w:rFonts w:hint="default"/>
        <w:b/>
        <w:color w:val="000080"/>
        <w:sz w:val="20"/>
        <w:szCs w:val="20"/>
        <w:lang w:val="en-IN"/>
      </w:rPr>
      <w:tab/>
      <w:t/>
    </w:r>
    <w:r>
      <w:rPr>
        <w:rFonts w:hint="default"/>
        <w:b/>
        <w:color w:val="000080"/>
        <w:sz w:val="20"/>
        <w:szCs w:val="20"/>
        <w:lang w:val="en-IN"/>
      </w:rPr>
      <w:tab/>
      <w:t/>
    </w:r>
    <w:r>
      <w:rPr>
        <w:rFonts w:hint="default"/>
        <w:b/>
        <w:color w:val="000080"/>
        <w:sz w:val="20"/>
        <w:szCs w:val="20"/>
        <w:lang w:val="en-IN"/>
      </w:rPr>
      <w:tab/>
    </w:r>
    <w:r>
      <w:rPr>
        <w:b/>
        <w:color w:val="000080"/>
        <w:sz w:val="20"/>
        <w:szCs w:val="20"/>
      </w:rPr>
      <w:t xml:space="preserve"> RAGHU COLLEGE OF PHARMACY</w:t>
    </w:r>
  </w:p>
  <w:p>
    <w:pPr>
      <w:ind w:left="720" w:right="-540"/>
      <w:jc w:val="both"/>
      <w:rPr>
        <w:b/>
        <w:color w:val="FF0000"/>
        <w:sz w:val="20"/>
        <w:szCs w:val="20"/>
      </w:rPr>
    </w:pPr>
    <w:r>
      <w:rPr>
        <w:b/>
        <w:color w:val="FF0000"/>
        <w:sz w:val="20"/>
        <w:szCs w:val="20"/>
      </w:rPr>
      <w:t xml:space="preserve">     </w:t>
    </w:r>
    <w:r>
      <w:rPr>
        <w:rFonts w:hint="default"/>
        <w:b/>
        <w:color w:val="FF0000"/>
        <w:sz w:val="20"/>
        <w:szCs w:val="20"/>
        <w:lang w:val="en-IN"/>
      </w:rPr>
      <w:tab/>
    </w:r>
    <w:r>
      <w:rPr>
        <w:b/>
        <w:color w:val="FF0000"/>
        <w:sz w:val="20"/>
        <w:szCs w:val="20"/>
      </w:rPr>
      <w:t xml:space="preserve">    (Approved by A.I.C.T.E &amp; P.C.I New Delhi &amp; Affiliated to Andhra University)</w:t>
    </w:r>
  </w:p>
  <w:p>
    <w:pPr>
      <w:ind w:right="-540"/>
      <w:jc w:val="both"/>
      <w:rPr>
        <w:color w:val="000080"/>
        <w:sz w:val="20"/>
        <w:szCs w:val="20"/>
      </w:rPr>
    </w:pPr>
    <w:r>
      <w:rPr>
        <w:color w:val="000080"/>
        <w:sz w:val="20"/>
        <w:szCs w:val="20"/>
      </w:rPr>
      <w:t xml:space="preserve">       </w:t>
    </w:r>
    <w:r>
      <w:rPr>
        <w:rFonts w:hint="default"/>
        <w:color w:val="000080"/>
        <w:sz w:val="20"/>
        <w:szCs w:val="20"/>
        <w:lang w:val="en-IN"/>
      </w:rPr>
      <w:tab/>
      <w:t/>
    </w:r>
    <w:r>
      <w:rPr>
        <w:rFonts w:hint="default"/>
        <w:color w:val="000080"/>
        <w:sz w:val="20"/>
        <w:szCs w:val="20"/>
        <w:lang w:val="en-IN"/>
      </w:rPr>
      <w:tab/>
      <w:t/>
    </w:r>
    <w:r>
      <w:rPr>
        <w:rFonts w:hint="default"/>
        <w:color w:val="000080"/>
        <w:sz w:val="20"/>
        <w:szCs w:val="20"/>
        <w:lang w:val="en-IN"/>
      </w:rPr>
      <w:tab/>
    </w:r>
    <w:r>
      <w:rPr>
        <w:color w:val="000080"/>
        <w:sz w:val="20"/>
        <w:szCs w:val="20"/>
      </w:rPr>
      <w:t xml:space="preserve"> Dakamarri, Bheemunipatnam Mandalam, Visakhapatnam - 531 162.</w:t>
    </w:r>
  </w:p>
  <w:p>
    <w:pPr>
      <w:ind w:left="1440" w:right="-540" w:hanging="1440"/>
      <w:rPr>
        <w:sz w:val="20"/>
        <w:szCs w:val="20"/>
      </w:rPr>
    </w:pPr>
    <w:r>
      <w:rPr>
        <w:sz w:val="20"/>
        <w:szCs w:val="20"/>
      </w:rPr>
      <w:t xml:space="preserve">     </w:t>
    </w:r>
    <w:r>
      <w:rPr>
        <w:rFonts w:hint="default"/>
        <w:sz w:val="20"/>
        <w:szCs w:val="20"/>
        <w:lang w:val="en-IN"/>
      </w:rPr>
      <w:tab/>
      <w:t/>
    </w:r>
    <w:r>
      <w:rPr>
        <w:rFonts w:hint="default"/>
        <w:sz w:val="20"/>
        <w:szCs w:val="20"/>
        <w:lang w:val="en-IN"/>
      </w:rPr>
      <w:tab/>
    </w:r>
    <w:r>
      <w:rPr>
        <w:sz w:val="20"/>
        <w:szCs w:val="20"/>
      </w:rPr>
      <w:t xml:space="preserve">  Ph:+91-8922-248014,1</w:t>
    </w:r>
    <w:r>
      <w:rPr>
        <w:rFonts w:hint="default"/>
        <w:sz w:val="20"/>
        <w:szCs w:val="20"/>
        <w:lang w:val="en-IN"/>
      </w:rPr>
      <w:t xml:space="preserve">  </w:t>
    </w:r>
    <w:r>
      <w:rPr>
        <w:sz w:val="20"/>
        <w:szCs w:val="20"/>
      </w:rPr>
      <w:t xml:space="preserve"> Website: www.raghupharmacy.com</w:t>
    </w:r>
    <w:r>
      <w:rPr>
        <w:sz w:val="20"/>
        <w:szCs w:val="20"/>
      </w:rPr>
      <w:tab/>
    </w:r>
    <w:r>
      <w:rPr>
        <w:sz w:val="20"/>
        <w:szCs w:val="20"/>
      </w:rPr>
      <w:tab/>
    </w:r>
    <w:r>
      <w:rPr>
        <w:sz w:val="20"/>
        <w:szCs w:val="20"/>
      </w:rPr>
      <w:tab/>
    </w:r>
    <w:r>
      <w:rPr>
        <w:sz w:val="20"/>
        <w:szCs w:val="20"/>
      </w:rPr>
      <w:t xml:space="preserve">                              </w:t>
    </w:r>
    <w:r>
      <w:rPr>
        <w:rFonts w:hint="default"/>
        <w:sz w:val="20"/>
        <w:szCs w:val="20"/>
        <w:lang w:val="en-IN"/>
      </w:rPr>
      <w:tab/>
      <w:t/>
    </w:r>
    <w:r>
      <w:rPr>
        <w:rFonts w:hint="default"/>
        <w:sz w:val="20"/>
        <w:szCs w:val="20"/>
        <w:lang w:val="en-IN"/>
      </w:rPr>
      <w:tab/>
    </w:r>
    <w:r>
      <w:rPr>
        <w:sz w:val="20"/>
        <w:szCs w:val="20"/>
      </w:rPr>
      <w:t>Email:raghucollegeofpharmacy@rediffmail.com</w:t>
    </w:r>
  </w:p>
  <w:p>
    <w:pPr>
      <w:pStyle w:val="5"/>
      <w:rPr>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37A73F4"/>
    <w:multiLevelType w:val="multilevel"/>
    <w:tmpl w:val="437A73F4"/>
    <w:lvl w:ilvl="0" w:tentative="0">
      <w:start w:val="1"/>
      <w:numFmt w:val="upperRoman"/>
      <w:lvlText w:val="%1."/>
      <w:lvlJc w:val="left"/>
      <w:pPr>
        <w:ind w:left="780" w:hanging="720"/>
      </w:pPr>
      <w:rPr>
        <w:rFonts w:hint="default"/>
      </w:rPr>
    </w:lvl>
    <w:lvl w:ilvl="1" w:tentative="0">
      <w:start w:val="1"/>
      <w:numFmt w:val="lowerLetter"/>
      <w:lvlText w:val="%2."/>
      <w:lvlJc w:val="left"/>
      <w:pPr>
        <w:ind w:left="1140" w:hanging="360"/>
      </w:pPr>
    </w:lvl>
    <w:lvl w:ilvl="2" w:tentative="0">
      <w:start w:val="1"/>
      <w:numFmt w:val="lowerRoman"/>
      <w:lvlText w:val="%3."/>
      <w:lvlJc w:val="right"/>
      <w:pPr>
        <w:ind w:left="1860" w:hanging="180"/>
      </w:pPr>
    </w:lvl>
    <w:lvl w:ilvl="3" w:tentative="0">
      <w:start w:val="1"/>
      <w:numFmt w:val="decimal"/>
      <w:lvlText w:val="%4."/>
      <w:lvlJc w:val="left"/>
      <w:pPr>
        <w:ind w:left="2580" w:hanging="360"/>
      </w:pPr>
    </w:lvl>
    <w:lvl w:ilvl="4" w:tentative="0">
      <w:start w:val="1"/>
      <w:numFmt w:val="lowerLetter"/>
      <w:lvlText w:val="%5."/>
      <w:lvlJc w:val="left"/>
      <w:pPr>
        <w:ind w:left="3300" w:hanging="360"/>
      </w:pPr>
    </w:lvl>
    <w:lvl w:ilvl="5" w:tentative="0">
      <w:start w:val="1"/>
      <w:numFmt w:val="lowerRoman"/>
      <w:lvlText w:val="%6."/>
      <w:lvlJc w:val="right"/>
      <w:pPr>
        <w:ind w:left="4020" w:hanging="180"/>
      </w:pPr>
    </w:lvl>
    <w:lvl w:ilvl="6" w:tentative="0">
      <w:start w:val="1"/>
      <w:numFmt w:val="decimal"/>
      <w:lvlText w:val="%7."/>
      <w:lvlJc w:val="left"/>
      <w:pPr>
        <w:ind w:left="4740" w:hanging="360"/>
      </w:pPr>
    </w:lvl>
    <w:lvl w:ilvl="7" w:tentative="0">
      <w:start w:val="1"/>
      <w:numFmt w:val="lowerLetter"/>
      <w:lvlText w:val="%8."/>
      <w:lvlJc w:val="left"/>
      <w:pPr>
        <w:ind w:left="5460" w:hanging="360"/>
      </w:pPr>
    </w:lvl>
    <w:lvl w:ilvl="8" w:tentative="0">
      <w:start w:val="1"/>
      <w:numFmt w:val="lowerRoman"/>
      <w:lvlText w:val="%9."/>
      <w:lvlJc w:val="right"/>
      <w:pPr>
        <w:ind w:left="61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2B2E"/>
    <w:rsid w:val="00102635"/>
    <w:rsid w:val="00191811"/>
    <w:rsid w:val="00272699"/>
    <w:rsid w:val="0064069A"/>
    <w:rsid w:val="006455B5"/>
    <w:rsid w:val="006708A3"/>
    <w:rsid w:val="006C64FE"/>
    <w:rsid w:val="009A3FFB"/>
    <w:rsid w:val="009B2B2E"/>
    <w:rsid w:val="00A440EA"/>
    <w:rsid w:val="00C66F9D"/>
    <w:rsid w:val="00DF42FA"/>
    <w:rsid w:val="00ED42D5"/>
    <w:rsid w:val="00F5302E"/>
    <w:rsid w:val="00FF4299"/>
    <w:rsid w:val="1C735273"/>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kern w:val="2"/>
      <w:sz w:val="22"/>
      <w:szCs w:val="22"/>
      <w:lang w:val="en-IN" w:eastAsia="en-US" w:bidi="ar-SA"/>
      <w14:ligatures w14:val="standardContextual"/>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4">
    <w:name w:val="footer"/>
    <w:basedOn w:val="1"/>
    <w:semiHidden/>
    <w:unhideWhenUsed/>
    <w:uiPriority w:val="99"/>
    <w:pPr>
      <w:tabs>
        <w:tab w:val="center" w:pos="4153"/>
        <w:tab w:val="right" w:pos="8306"/>
      </w:tabs>
      <w:snapToGrid w:val="0"/>
      <w:jc w:val="left"/>
    </w:pPr>
    <w:rPr>
      <w:sz w:val="18"/>
      <w:szCs w:val="18"/>
    </w:rPr>
  </w:style>
  <w:style w:type="paragraph" w:styleId="5">
    <w:name w:val="header"/>
    <w:basedOn w:val="1"/>
    <w:semiHidden/>
    <w:unhideWhenUsed/>
    <w:uiPriority w:val="99"/>
    <w:pPr>
      <w:tabs>
        <w:tab w:val="center" w:pos="4153"/>
        <w:tab w:val="right" w:pos="8306"/>
      </w:tabs>
      <w:snapToGrid w:val="0"/>
    </w:pPr>
    <w:rPr>
      <w:sz w:val="18"/>
      <w:szCs w:val="18"/>
    </w:rPr>
  </w:style>
  <w:style w:type="paragraph" w:styleId="6">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458</Words>
  <Characters>2613</Characters>
  <Lines>21</Lines>
  <Paragraphs>6</Paragraphs>
  <TotalTime>1</TotalTime>
  <ScaleCrop>false</ScaleCrop>
  <LinksUpToDate>false</LinksUpToDate>
  <CharactersWithSpaces>3065</CharactersWithSpaces>
  <Application>WPS Office_12.2.0.13215_F1E327BC-269C-435d-A152-05C5408002CA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2023-08-02T12:02:00Z</dcterms:created>
  <dc:creator>Bala Krishna</dc:creator>
  <cp:lastModifiedBy>kbalu</cp:lastModifiedBy>
  <dcterms:modified xsi:type="dcterms:W3CDTF">2023-09-29T06:08:59Z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1033-12.2.0.13215</vt:lpwstr>
  </property>
  <property fmtid="{D5CDD505-2E9C-101B-9397-08002B2CF9AE}" pid="3" name="ICV">
    <vt:lpwstr>7CA74D1C67084ACDB6C00C3B66A5E188_13</vt:lpwstr>
  </property>
</Properties>
</file>